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3960E9" w:rsidP="005D0621">
            <w:pPr>
              <w:rPr>
                <w:b/>
              </w:rPr>
            </w:pPr>
            <w:r>
              <w:rPr>
                <w:rStyle w:val="Firstpagetablebold"/>
              </w:rPr>
              <w:t>23 January 2018</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3960E9" w:rsidP="004A6D2F">
            <w:pPr>
              <w:rPr>
                <w:rStyle w:val="Firstpagetablebold"/>
              </w:rPr>
            </w:pPr>
            <w:r>
              <w:rPr>
                <w:rStyle w:val="Firstpagetablebold"/>
              </w:rPr>
              <w:t>Managing Director Oxford Direct Services</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3960E9" w:rsidP="004A6D2F">
            <w:pPr>
              <w:rPr>
                <w:rStyle w:val="Firstpagetablebold"/>
              </w:rPr>
            </w:pPr>
            <w:r>
              <w:rPr>
                <w:rStyle w:val="Firstpagetablebold"/>
              </w:rPr>
              <w:t xml:space="preserve">Award of </w:t>
            </w:r>
            <w:r w:rsidR="003902AE">
              <w:rPr>
                <w:rStyle w:val="Firstpagetablebold"/>
              </w:rPr>
              <w:t>Kitchen Contract</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C50C7B" w:rsidP="008B11B6">
            <w:r>
              <w:t xml:space="preserve">To seek </w:t>
            </w:r>
            <w:r w:rsidR="00A632F1">
              <w:t xml:space="preserve">project approval and </w:t>
            </w:r>
            <w:r>
              <w:t>delegat</w:t>
            </w:r>
            <w:r w:rsidR="008B11B6">
              <w:t xml:space="preserve">ed authority for the Executive Director of Sustainable City </w:t>
            </w:r>
            <w:r>
              <w:t>to award a contract for the Supply of Kitchen Units, Worktops and Accessories</w:t>
            </w:r>
            <w:r w:rsidRPr="00C50C7B">
              <w:t>.</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5F7F7E">
            <w:r w:rsidRPr="001356F1">
              <w:t>Yes</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D5547E" w:rsidP="00B4173F">
            <w:r w:rsidRPr="00B4173F">
              <w:t xml:space="preserve">Councillor </w:t>
            </w:r>
            <w:r w:rsidR="00B4173F" w:rsidRPr="00B4173F">
              <w:t>Mike Rowley</w:t>
            </w:r>
            <w:r w:rsidRPr="00B4173F">
              <w:t xml:space="preserve">, </w:t>
            </w:r>
            <w:r w:rsidR="00B4173F" w:rsidRPr="00B4173F">
              <w:t>Housing</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C50C7B" w:rsidP="005F7F7E">
            <w:r>
              <w:t>Meeting Housing Need</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3A3A2D" w:rsidP="005F7F7E">
            <w:r>
              <w:t>Housing Strategy</w:t>
            </w:r>
          </w:p>
        </w:tc>
      </w:tr>
      <w:tr w:rsidR="005F7F7E" w:rsidRPr="00975B07" w:rsidTr="00A46E98">
        <w:trPr>
          <w:trHeight w:val="413"/>
        </w:trPr>
        <w:tc>
          <w:tcPr>
            <w:tcW w:w="8845" w:type="dxa"/>
            <w:gridSpan w:val="3"/>
            <w:tcBorders>
              <w:bottom w:val="single" w:sz="8" w:space="0" w:color="000000"/>
            </w:tcBorders>
          </w:tcPr>
          <w:p w:rsidR="005F7F7E" w:rsidRPr="00975B07" w:rsidRDefault="002B14CA" w:rsidP="004A6D2F">
            <w:proofErr w:type="spellStart"/>
            <w:r>
              <w:rPr>
                <w:rStyle w:val="Firstpagetablebold"/>
              </w:rPr>
              <w:t>Recommendation</w:t>
            </w:r>
            <w:r w:rsidR="007A115D">
              <w:rPr>
                <w:rStyle w:val="Firstpagetablebold"/>
              </w:rPr>
              <w:t>s</w:t>
            </w:r>
            <w:r w:rsidR="005F7F7E">
              <w:rPr>
                <w:rStyle w:val="Firstpagetablebold"/>
              </w:rPr>
              <w:t>:That</w:t>
            </w:r>
            <w:proofErr w:type="spellEnd"/>
            <w:r w:rsidR="005F7F7E">
              <w:rPr>
                <w:rStyle w:val="Firstpagetablebold"/>
              </w:rPr>
              <w:t xml:space="preserve"> the City Executive Board resolves to:</w:t>
            </w:r>
          </w:p>
        </w:tc>
      </w:tr>
      <w:tr w:rsidR="0030208D" w:rsidRPr="00975B07" w:rsidTr="00A46E98">
        <w:trPr>
          <w:trHeight w:val="283"/>
        </w:trPr>
        <w:tc>
          <w:tcPr>
            <w:tcW w:w="426" w:type="dxa"/>
            <w:tcBorders>
              <w:top w:val="single" w:sz="8" w:space="0" w:color="000000"/>
              <w:left w:val="single" w:sz="8" w:space="0" w:color="000000"/>
              <w:bottom w:val="nil"/>
              <w:right w:val="nil"/>
            </w:tcBorders>
          </w:tcPr>
          <w:p w:rsidR="00A632F1" w:rsidRDefault="00A632F1" w:rsidP="000076AA"/>
          <w:p w:rsidR="0030208D" w:rsidRDefault="0030208D" w:rsidP="000076AA"/>
          <w:p w:rsidR="00B77C0E" w:rsidRPr="00975B07" w:rsidRDefault="00B77C0E" w:rsidP="000076AA"/>
        </w:tc>
        <w:tc>
          <w:tcPr>
            <w:tcW w:w="8419" w:type="dxa"/>
            <w:gridSpan w:val="2"/>
            <w:tcBorders>
              <w:top w:val="single" w:sz="8" w:space="0" w:color="000000"/>
              <w:left w:val="nil"/>
              <w:bottom w:val="nil"/>
              <w:right w:val="single" w:sz="8" w:space="0" w:color="000000"/>
            </w:tcBorders>
            <w:shd w:val="clear" w:color="auto" w:fill="auto"/>
          </w:tcPr>
          <w:p w:rsidR="000076AA" w:rsidRDefault="000076AA" w:rsidP="000076AA">
            <w:r w:rsidRPr="000076AA">
              <w:t>1.</w:t>
            </w:r>
            <w:r>
              <w:rPr>
                <w:b/>
              </w:rPr>
              <w:t xml:space="preserve"> </w:t>
            </w:r>
            <w:r w:rsidR="00A632F1">
              <w:rPr>
                <w:b/>
              </w:rPr>
              <w:t xml:space="preserve">Give project approval for </w:t>
            </w:r>
            <w:r w:rsidR="00B77C0E">
              <w:t xml:space="preserve">the Supply of Kitchen </w:t>
            </w:r>
            <w:r w:rsidR="007A115D">
              <w:t>Units, Worktops and Accessories; and</w:t>
            </w:r>
            <w:bookmarkStart w:id="0" w:name="_GoBack"/>
            <w:bookmarkEnd w:id="0"/>
          </w:p>
          <w:p w:rsidR="0030208D" w:rsidRPr="00F60CF3" w:rsidRDefault="000076AA" w:rsidP="000076AA">
            <w:r w:rsidRPr="000076AA">
              <w:t>2.</w:t>
            </w:r>
            <w:r>
              <w:rPr>
                <w:b/>
              </w:rPr>
              <w:t xml:space="preserve"> </w:t>
            </w:r>
            <w:r w:rsidR="00F60CF3" w:rsidRPr="00F60CF3">
              <w:rPr>
                <w:b/>
              </w:rPr>
              <w:t>Delegate</w:t>
            </w:r>
            <w:r w:rsidR="00F60CF3">
              <w:rPr>
                <w:b/>
              </w:rPr>
              <w:t xml:space="preserve"> to</w:t>
            </w:r>
            <w:r w:rsidR="00F60CF3">
              <w:t xml:space="preserve"> the </w:t>
            </w:r>
            <w:r w:rsidR="00F60CF3" w:rsidRPr="00F60CF3">
              <w:t>Executive Director of Sustainable City</w:t>
            </w:r>
            <w:r w:rsidR="00F60CF3">
              <w:t xml:space="preserve">, authority to award a contract for the </w:t>
            </w:r>
            <w:r w:rsidR="00F60CF3" w:rsidRPr="00F60CF3">
              <w:t>Supply of Kitchen Units, Worktops and Accessories to the Council.</w:t>
            </w:r>
          </w:p>
        </w:tc>
      </w:tr>
      <w:tr w:rsidR="00232F5B" w:rsidRPr="00975B07" w:rsidTr="00A46E98">
        <w:trPr>
          <w:trHeight w:val="283"/>
        </w:trPr>
        <w:tc>
          <w:tcPr>
            <w:tcW w:w="426" w:type="dxa"/>
            <w:tcBorders>
              <w:top w:val="nil"/>
              <w:left w:val="single" w:sz="8" w:space="0" w:color="000000"/>
              <w:bottom w:val="single" w:sz="8" w:space="0" w:color="000000"/>
              <w:right w:val="nil"/>
            </w:tcBorders>
          </w:tcPr>
          <w:p w:rsidR="0030208D" w:rsidRPr="00975B07" w:rsidRDefault="0030208D" w:rsidP="004A6D2F"/>
        </w:tc>
        <w:tc>
          <w:tcPr>
            <w:tcW w:w="8419" w:type="dxa"/>
            <w:gridSpan w:val="2"/>
            <w:tcBorders>
              <w:top w:val="nil"/>
              <w:left w:val="nil"/>
              <w:bottom w:val="single" w:sz="8" w:space="0" w:color="000000"/>
              <w:right w:val="single" w:sz="8" w:space="0" w:color="000000"/>
            </w:tcBorders>
            <w:shd w:val="clear" w:color="auto" w:fill="auto"/>
          </w:tcPr>
          <w:p w:rsidR="0030208D" w:rsidRPr="001356F1" w:rsidRDefault="0030208D" w:rsidP="00247C29"/>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2"/>
        <w:gridCol w:w="6418"/>
      </w:tblGrid>
      <w:tr w:rsidR="00966D42" w:rsidRPr="00975B07" w:rsidTr="00197C56">
        <w:trPr>
          <w:trHeight w:val="115"/>
        </w:trPr>
        <w:tc>
          <w:tcPr>
            <w:tcW w:w="8860"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197C56">
        <w:trPr>
          <w:trHeight w:val="115"/>
        </w:trPr>
        <w:tc>
          <w:tcPr>
            <w:tcW w:w="2442" w:type="dxa"/>
            <w:tcBorders>
              <w:top w:val="single" w:sz="8" w:space="0" w:color="000000"/>
              <w:left w:val="single" w:sz="8" w:space="0" w:color="000000"/>
              <w:bottom w:val="nil"/>
              <w:right w:val="nil"/>
            </w:tcBorders>
            <w:shd w:val="clear" w:color="auto" w:fill="auto"/>
          </w:tcPr>
          <w:p w:rsidR="00ED5860" w:rsidRPr="0095009A" w:rsidRDefault="00ED5860" w:rsidP="004A6D2F">
            <w:r w:rsidRPr="0095009A">
              <w:t>Appendix 1</w:t>
            </w:r>
          </w:p>
        </w:tc>
        <w:tc>
          <w:tcPr>
            <w:tcW w:w="6418" w:type="dxa"/>
            <w:tcBorders>
              <w:top w:val="single" w:sz="8" w:space="0" w:color="000000"/>
              <w:left w:val="nil"/>
              <w:bottom w:val="nil"/>
              <w:right w:val="single" w:sz="8" w:space="0" w:color="000000"/>
            </w:tcBorders>
          </w:tcPr>
          <w:p w:rsidR="00ED5860" w:rsidRPr="0095009A" w:rsidRDefault="00F60CF3" w:rsidP="004A6D2F">
            <w:r w:rsidRPr="0095009A">
              <w:t>Risk Register</w:t>
            </w:r>
          </w:p>
        </w:tc>
      </w:tr>
      <w:tr w:rsidR="00197C56" w:rsidRPr="00975B07" w:rsidTr="00197C56">
        <w:trPr>
          <w:trHeight w:val="115"/>
        </w:trPr>
        <w:tc>
          <w:tcPr>
            <w:tcW w:w="2442" w:type="dxa"/>
            <w:tcBorders>
              <w:top w:val="nil"/>
              <w:left w:val="single" w:sz="8" w:space="0" w:color="000000"/>
              <w:bottom w:val="single" w:sz="8" w:space="0" w:color="000000"/>
              <w:right w:val="nil"/>
            </w:tcBorders>
            <w:shd w:val="clear" w:color="auto" w:fill="auto"/>
          </w:tcPr>
          <w:p w:rsidR="00197C56" w:rsidRPr="00975B07" w:rsidRDefault="00197C56" w:rsidP="004A6D2F"/>
        </w:tc>
        <w:tc>
          <w:tcPr>
            <w:tcW w:w="6418" w:type="dxa"/>
            <w:tcBorders>
              <w:top w:val="nil"/>
              <w:left w:val="nil"/>
              <w:bottom w:val="single" w:sz="8" w:space="0" w:color="000000"/>
              <w:right w:val="single" w:sz="8" w:space="0" w:color="000000"/>
            </w:tcBorders>
          </w:tcPr>
          <w:p w:rsidR="00197C56" w:rsidRPr="001356F1" w:rsidRDefault="00197C56" w:rsidP="004A6D2F"/>
        </w:tc>
      </w:tr>
    </w:tbl>
    <w:p w:rsidR="00E40BEF" w:rsidRDefault="00E40BEF" w:rsidP="004A6D2F">
      <w:pPr>
        <w:pStyle w:val="Heading1"/>
      </w:pPr>
    </w:p>
    <w:p w:rsidR="00E40BEF" w:rsidRDefault="00E40BEF">
      <w:pPr>
        <w:spacing w:after="0"/>
        <w:rPr>
          <w:b/>
        </w:rPr>
      </w:pPr>
      <w:r>
        <w:br w:type="page"/>
      </w:r>
    </w:p>
    <w:p w:rsidR="0040736F" w:rsidRPr="001356F1" w:rsidRDefault="00F66DCA" w:rsidP="004A6D2F">
      <w:pPr>
        <w:pStyle w:val="Heading1"/>
      </w:pPr>
      <w:r w:rsidRPr="001356F1">
        <w:lastRenderedPageBreak/>
        <w:t>Introduction and b</w:t>
      </w:r>
      <w:r w:rsidR="00151888" w:rsidRPr="001356F1">
        <w:t>ackground</w:t>
      </w:r>
      <w:r w:rsidR="00404032" w:rsidRPr="001356F1">
        <w:t xml:space="preserve"> </w:t>
      </w:r>
    </w:p>
    <w:p w:rsidR="00633578" w:rsidRDefault="0070063C" w:rsidP="00E40BEF">
      <w:pPr>
        <w:pStyle w:val="ListParagraph"/>
      </w:pPr>
      <w:r>
        <w:t>The Council</w:t>
      </w:r>
      <w:r w:rsidR="00E40BEF">
        <w:t xml:space="preserve"> replaces the kitchens in their stock of approximately 8000 properties on a rolling replacement programme and also provides day to day maintenance to maintain high standards to tenants. </w:t>
      </w:r>
      <w:r w:rsidR="003A3A2D">
        <w:t xml:space="preserve"> </w:t>
      </w:r>
      <w:r w:rsidR="00E40BEF">
        <w:t xml:space="preserve">The spend is approximately £300,000 per annum on kitchen units, worktops and associated accessories and Premiere Kitchens have supplied </w:t>
      </w:r>
      <w:r>
        <w:t xml:space="preserve">the Council </w:t>
      </w:r>
      <w:r w:rsidR="00E40BEF">
        <w:t xml:space="preserve">for over 10 years. </w:t>
      </w:r>
      <w:r w:rsidR="003A3A2D">
        <w:t xml:space="preserve"> </w:t>
      </w:r>
      <w:r w:rsidR="00E40BEF">
        <w:t xml:space="preserve">A solid relationship exists and </w:t>
      </w:r>
      <w:r>
        <w:t>the Council</w:t>
      </w:r>
      <w:r w:rsidR="00E40BEF">
        <w:t xml:space="preserve"> are very happy with the quality of the products provided.</w:t>
      </w:r>
      <w:r w:rsidR="00E40BEF" w:rsidRPr="001356F1">
        <w:t xml:space="preserve"> </w:t>
      </w:r>
    </w:p>
    <w:p w:rsidR="0070063C" w:rsidRPr="001356F1" w:rsidRDefault="0070063C" w:rsidP="0070063C">
      <w:pPr>
        <w:pStyle w:val="ListParagraph"/>
      </w:pPr>
      <w:r w:rsidRPr="0070063C">
        <w:t>The existing supply route involves direct delivery from Premiere Kitchens but invoices come</w:t>
      </w:r>
      <w:r>
        <w:t xml:space="preserve"> from Jewsons who hold a c</w:t>
      </w:r>
      <w:r w:rsidRPr="0070063C">
        <w:t xml:space="preserve">ontract for the Supply of Building Materials to </w:t>
      </w:r>
      <w:r>
        <w:t>the Council</w:t>
      </w:r>
      <w:r w:rsidRPr="0070063C">
        <w:t>.</w:t>
      </w:r>
      <w:r w:rsidR="003A3A2D">
        <w:t xml:space="preserve"> </w:t>
      </w:r>
      <w:r w:rsidRPr="0070063C">
        <w:t xml:space="preserve"> Historically this option was taken to ensure OJEU compliance and maintain continuity of supply.</w:t>
      </w:r>
      <w:r w:rsidR="00C76223">
        <w:t xml:space="preserve"> </w:t>
      </w:r>
      <w:r w:rsidR="003A3A2D">
        <w:t xml:space="preserve"> </w:t>
      </w:r>
      <w:r w:rsidRPr="0070063C">
        <w:t>There is however a cha</w:t>
      </w:r>
      <w:r>
        <w:t>rge for the invoicing services</w:t>
      </w:r>
      <w:r w:rsidRPr="0070063C">
        <w:t xml:space="preserve"> from Jewsons to cover the cost of invoicing only.</w:t>
      </w:r>
      <w:r w:rsidR="009E3B29">
        <w:t xml:space="preserve">  The Council can terminate this agreement by giving 1 month’s notice</w:t>
      </w:r>
      <w:r w:rsidR="009E3B29" w:rsidRPr="0070063C">
        <w:t xml:space="preserve"> </w:t>
      </w:r>
      <w:r w:rsidR="009E3B29">
        <w:t>and implement a new contract on 1</w:t>
      </w:r>
      <w:r w:rsidR="009E3B29" w:rsidRPr="00C76223">
        <w:rPr>
          <w:vertAlign w:val="superscript"/>
        </w:rPr>
        <w:t>st</w:t>
      </w:r>
      <w:r w:rsidR="009E3B29">
        <w:t xml:space="preserve"> March 2018.</w:t>
      </w:r>
    </w:p>
    <w:p w:rsidR="00192C56" w:rsidRDefault="0070063C" w:rsidP="0070063C">
      <w:pPr>
        <w:pStyle w:val="bParagraphtext"/>
      </w:pPr>
      <w:r w:rsidRPr="0070063C">
        <w:t>This report sets out the potential for considerable cost savings by simply changing the invoicing route and making a compliant Direct Award through an existing</w:t>
      </w:r>
      <w:r w:rsidR="005A531C">
        <w:t xml:space="preserve"> framework agreement.</w:t>
      </w:r>
      <w:r w:rsidR="00192C56">
        <w:t xml:space="preserve"> </w:t>
      </w:r>
    </w:p>
    <w:p w:rsidR="0070063C" w:rsidRDefault="00192C56" w:rsidP="0070063C">
      <w:pPr>
        <w:pStyle w:val="bParagraphtext"/>
      </w:pPr>
      <w:r>
        <w:t>The proposed contract value is £1.2 million.</w:t>
      </w:r>
    </w:p>
    <w:p w:rsidR="00674E9D" w:rsidRDefault="00674E9D" w:rsidP="00674E9D">
      <w:pPr>
        <w:pStyle w:val="bParagraphtext"/>
        <w:numPr>
          <w:ilvl w:val="0"/>
          <w:numId w:val="0"/>
        </w:numPr>
        <w:ind w:left="426" w:hanging="426"/>
        <w:rPr>
          <w:b/>
        </w:rPr>
      </w:pPr>
    </w:p>
    <w:p w:rsidR="00674E9D" w:rsidRPr="00674E9D" w:rsidRDefault="00674E9D" w:rsidP="00674E9D">
      <w:pPr>
        <w:pStyle w:val="bParagraphtext"/>
        <w:numPr>
          <w:ilvl w:val="0"/>
          <w:numId w:val="0"/>
        </w:numPr>
        <w:ind w:left="426" w:hanging="426"/>
        <w:rPr>
          <w:b/>
        </w:rPr>
      </w:pPr>
      <w:r w:rsidRPr="00674E9D">
        <w:rPr>
          <w:b/>
        </w:rPr>
        <w:t>Procurement process</w:t>
      </w:r>
    </w:p>
    <w:p w:rsidR="00674E9D" w:rsidRDefault="00674E9D" w:rsidP="00674E9D">
      <w:pPr>
        <w:pStyle w:val="bParagraphtext"/>
      </w:pPr>
      <w:r w:rsidRPr="00674E9D">
        <w:t>LHC is a leading provider of free-to-use framework agreements used by local authorities, social landlords and other public sector bodies to procure works, products and services for the construction, refurbishment and maintenance of social housing and public buildings.</w:t>
      </w:r>
    </w:p>
    <w:p w:rsidR="00082548" w:rsidRDefault="00082548" w:rsidP="00082548">
      <w:pPr>
        <w:pStyle w:val="bParagraphtext"/>
      </w:pPr>
      <w:r>
        <w:t xml:space="preserve">The LHC Framework for Supply of Kitchen Units and Worktops has Premiere Kitchens </w:t>
      </w:r>
      <w:r w:rsidR="005A531C">
        <w:t xml:space="preserve">listed </w:t>
      </w:r>
      <w:r>
        <w:t>as a supp</w:t>
      </w:r>
      <w:r w:rsidR="005A531C">
        <w:t>lier.</w:t>
      </w:r>
    </w:p>
    <w:p w:rsidR="008B11B6" w:rsidRDefault="003E0C61" w:rsidP="008B11B6">
      <w:pPr>
        <w:pStyle w:val="bParagraphtext"/>
      </w:pPr>
      <w:r>
        <w:t>A benchmarking exercise was</w:t>
      </w:r>
      <w:r w:rsidR="00082548">
        <w:t xml:space="preserve"> completed using existing pricing, potential LHC pricing and usage figures obtained </w:t>
      </w:r>
      <w:r w:rsidR="003A3A2D">
        <w:t>directly from Premiere Kitchens for the year commencing 1 November 2016.</w:t>
      </w:r>
      <w:r w:rsidR="00643126">
        <w:t xml:space="preserve">  The results indicated significant savings against current costs as outlined in the table below.</w:t>
      </w:r>
    </w:p>
    <w:p w:rsidR="008B11B6" w:rsidRDefault="008B11B6" w:rsidP="008B11B6">
      <w:pPr>
        <w:pStyle w:val="ListParagraph"/>
      </w:pPr>
      <w:r>
        <w:t xml:space="preserve">Officers recommend </w:t>
      </w:r>
      <w:r w:rsidR="00F77A60">
        <w:t xml:space="preserve">approving the project and </w:t>
      </w:r>
      <w:r>
        <w:t>awarding a 4 year contract to Premiere Kitchens through the LHC Framework for the Supply of Kitchens, Worktops and Accessories.  Key reasons behind this recommendation are as follows:</w:t>
      </w:r>
    </w:p>
    <w:p w:rsidR="008B11B6" w:rsidRDefault="008B11B6" w:rsidP="00F77A60">
      <w:pPr>
        <w:ind w:firstLine="426"/>
      </w:pPr>
      <w:r>
        <w:t xml:space="preserve">Other benefits of awarding the contract through </w:t>
      </w:r>
      <w:r w:rsidR="00F77A60">
        <w:t>the LHC framework include</w:t>
      </w:r>
      <w:r>
        <w:t>:</w:t>
      </w:r>
    </w:p>
    <w:p w:rsidR="008B11B6" w:rsidRPr="0064520E" w:rsidRDefault="008B11B6" w:rsidP="008B11B6">
      <w:pPr>
        <w:numPr>
          <w:ilvl w:val="0"/>
          <w:numId w:val="35"/>
        </w:numPr>
        <w:tabs>
          <w:tab w:val="left" w:pos="993"/>
        </w:tabs>
        <w:spacing w:after="0"/>
        <w:ind w:left="851" w:hanging="425"/>
        <w:jc w:val="both"/>
        <w:rPr>
          <w:color w:val="auto"/>
          <w:lang w:eastAsia="en-US"/>
        </w:rPr>
      </w:pPr>
      <w:r w:rsidRPr="0064520E">
        <w:rPr>
          <w:color w:val="auto"/>
          <w:lang w:eastAsia="en-US"/>
        </w:rPr>
        <w:t xml:space="preserve">A potential £45,000 saving per annum is available with relatively little input required by OCC. </w:t>
      </w:r>
    </w:p>
    <w:p w:rsidR="008B11B6" w:rsidRPr="0064520E" w:rsidRDefault="008B11B6" w:rsidP="008B11B6">
      <w:pPr>
        <w:numPr>
          <w:ilvl w:val="0"/>
          <w:numId w:val="35"/>
        </w:numPr>
        <w:tabs>
          <w:tab w:val="left" w:pos="851"/>
        </w:tabs>
        <w:spacing w:after="0"/>
        <w:ind w:left="851" w:hanging="425"/>
        <w:jc w:val="both"/>
        <w:rPr>
          <w:b/>
          <w:color w:val="auto"/>
          <w:sz w:val="28"/>
          <w:szCs w:val="28"/>
          <w:lang w:eastAsia="en-US"/>
        </w:rPr>
      </w:pPr>
      <w:r w:rsidRPr="0064520E">
        <w:rPr>
          <w:color w:val="auto"/>
          <w:lang w:eastAsia="en-US"/>
        </w:rPr>
        <w:t xml:space="preserve">OCC should see a seamless transition as it is only the invoicing process that will change. </w:t>
      </w:r>
    </w:p>
    <w:p w:rsidR="008B11B6" w:rsidRPr="0064520E" w:rsidRDefault="008B11B6" w:rsidP="008B11B6">
      <w:pPr>
        <w:numPr>
          <w:ilvl w:val="0"/>
          <w:numId w:val="35"/>
        </w:numPr>
        <w:tabs>
          <w:tab w:val="left" w:pos="851"/>
          <w:tab w:val="left" w:pos="1440"/>
        </w:tabs>
        <w:spacing w:after="0"/>
        <w:ind w:left="993" w:hanging="567"/>
        <w:jc w:val="both"/>
        <w:rPr>
          <w:color w:val="auto"/>
          <w:lang w:eastAsia="en-US"/>
        </w:rPr>
      </w:pPr>
      <w:r w:rsidRPr="0064520E">
        <w:rPr>
          <w:color w:val="auto"/>
          <w:lang w:eastAsia="en-US"/>
        </w:rPr>
        <w:t>A strong existing relationship exists between OCC and Premiere Kitchens.</w:t>
      </w:r>
    </w:p>
    <w:p w:rsidR="008B11B6" w:rsidRPr="0064520E" w:rsidRDefault="008B11B6" w:rsidP="008B11B6">
      <w:pPr>
        <w:numPr>
          <w:ilvl w:val="0"/>
          <w:numId w:val="35"/>
        </w:numPr>
        <w:tabs>
          <w:tab w:val="left" w:pos="851"/>
          <w:tab w:val="left" w:pos="1440"/>
        </w:tabs>
        <w:spacing w:after="0"/>
        <w:ind w:left="993" w:hanging="567"/>
        <w:jc w:val="both"/>
        <w:rPr>
          <w:color w:val="auto"/>
          <w:lang w:eastAsia="en-US"/>
        </w:rPr>
      </w:pPr>
      <w:r w:rsidRPr="0064520E">
        <w:rPr>
          <w:color w:val="auto"/>
          <w:lang w:eastAsia="en-US"/>
        </w:rPr>
        <w:t>A large proportion of the housing stock contains a Premiere Kitchen installation.</w:t>
      </w:r>
    </w:p>
    <w:p w:rsidR="008B11B6" w:rsidRPr="0064520E" w:rsidRDefault="008B11B6" w:rsidP="008B11B6">
      <w:pPr>
        <w:numPr>
          <w:ilvl w:val="0"/>
          <w:numId w:val="35"/>
        </w:numPr>
        <w:tabs>
          <w:tab w:val="left" w:pos="851"/>
          <w:tab w:val="left" w:pos="1440"/>
        </w:tabs>
        <w:spacing w:after="0"/>
        <w:ind w:left="851" w:hanging="425"/>
        <w:jc w:val="both"/>
        <w:rPr>
          <w:color w:val="auto"/>
          <w:lang w:eastAsia="en-US"/>
        </w:rPr>
      </w:pPr>
      <w:r w:rsidRPr="0064520E">
        <w:rPr>
          <w:color w:val="auto"/>
          <w:lang w:eastAsia="en-US"/>
        </w:rPr>
        <w:t xml:space="preserve">A large stock of units, accessories and </w:t>
      </w:r>
      <w:r>
        <w:rPr>
          <w:color w:val="auto"/>
          <w:lang w:eastAsia="en-US"/>
        </w:rPr>
        <w:t xml:space="preserve">spares is held at Stores and on </w:t>
      </w:r>
      <w:r w:rsidRPr="0064520E">
        <w:rPr>
          <w:color w:val="auto"/>
          <w:lang w:eastAsia="en-US"/>
        </w:rPr>
        <w:t>operatives van stocks.</w:t>
      </w:r>
    </w:p>
    <w:p w:rsidR="008B11B6" w:rsidRPr="0064520E" w:rsidRDefault="008B11B6" w:rsidP="008B11B6">
      <w:pPr>
        <w:numPr>
          <w:ilvl w:val="0"/>
          <w:numId w:val="35"/>
        </w:numPr>
        <w:tabs>
          <w:tab w:val="left" w:pos="851"/>
          <w:tab w:val="left" w:pos="1440"/>
        </w:tabs>
        <w:spacing w:after="0"/>
        <w:ind w:left="851" w:hanging="425"/>
        <w:jc w:val="both"/>
        <w:rPr>
          <w:color w:val="auto"/>
          <w:lang w:eastAsia="en-US"/>
        </w:rPr>
      </w:pPr>
      <w:r w:rsidRPr="0064520E">
        <w:rPr>
          <w:color w:val="auto"/>
          <w:lang w:eastAsia="en-US"/>
        </w:rPr>
        <w:t>OCC employees are proficient in installing, repairing and maintaining a Premiere Kitchen.</w:t>
      </w:r>
    </w:p>
    <w:p w:rsidR="008B11B6" w:rsidRPr="0064520E" w:rsidRDefault="008B11B6" w:rsidP="008B11B6">
      <w:pPr>
        <w:numPr>
          <w:ilvl w:val="0"/>
          <w:numId w:val="35"/>
        </w:numPr>
        <w:tabs>
          <w:tab w:val="left" w:pos="851"/>
          <w:tab w:val="left" w:pos="1440"/>
        </w:tabs>
        <w:spacing w:after="0"/>
        <w:ind w:left="851" w:hanging="425"/>
        <w:jc w:val="both"/>
        <w:rPr>
          <w:color w:val="auto"/>
          <w:lang w:eastAsia="en-US"/>
        </w:rPr>
      </w:pPr>
      <w:r w:rsidRPr="0064520E">
        <w:rPr>
          <w:color w:val="auto"/>
          <w:lang w:eastAsia="en-US"/>
        </w:rPr>
        <w:lastRenderedPageBreak/>
        <w:t xml:space="preserve">The other option of looking for a replacement manufacturer would incur additional costs due to the following: </w:t>
      </w:r>
    </w:p>
    <w:p w:rsidR="008B11B6" w:rsidRPr="0064520E" w:rsidRDefault="008B11B6" w:rsidP="008B11B6">
      <w:pPr>
        <w:numPr>
          <w:ilvl w:val="1"/>
          <w:numId w:val="35"/>
        </w:numPr>
        <w:tabs>
          <w:tab w:val="left" w:pos="540"/>
          <w:tab w:val="left" w:pos="1440"/>
        </w:tabs>
        <w:spacing w:after="0"/>
        <w:ind w:left="1418"/>
        <w:jc w:val="both"/>
        <w:rPr>
          <w:color w:val="auto"/>
          <w:lang w:eastAsia="en-US"/>
        </w:rPr>
      </w:pPr>
      <w:r w:rsidRPr="0064520E">
        <w:rPr>
          <w:color w:val="auto"/>
          <w:lang w:eastAsia="en-US"/>
        </w:rPr>
        <w:t>Existing Contracts Managers have Premiere Kitchens design software and are familiar with designing and specifying a kitchen that Premiere Kitchens can manufacture quickly and efficiently.</w:t>
      </w:r>
    </w:p>
    <w:p w:rsidR="008B11B6" w:rsidRPr="0064520E" w:rsidRDefault="008B11B6" w:rsidP="008B11B6">
      <w:pPr>
        <w:numPr>
          <w:ilvl w:val="1"/>
          <w:numId w:val="34"/>
        </w:numPr>
        <w:tabs>
          <w:tab w:val="left" w:pos="540"/>
          <w:tab w:val="left" w:pos="1440"/>
        </w:tabs>
        <w:spacing w:after="0"/>
        <w:jc w:val="both"/>
        <w:rPr>
          <w:color w:val="auto"/>
          <w:lang w:eastAsia="en-US"/>
        </w:rPr>
      </w:pPr>
      <w:r w:rsidRPr="0064520E">
        <w:rPr>
          <w:color w:val="auto"/>
          <w:lang w:eastAsia="en-US"/>
        </w:rPr>
        <w:t>A new kitchen unit design would need to be integrated into the existing stock over a long period of time, therefore requiring extra storage space.</w:t>
      </w:r>
    </w:p>
    <w:p w:rsidR="008B11B6" w:rsidRPr="0064520E" w:rsidRDefault="008B11B6" w:rsidP="008B11B6">
      <w:pPr>
        <w:numPr>
          <w:ilvl w:val="1"/>
          <w:numId w:val="34"/>
        </w:numPr>
        <w:tabs>
          <w:tab w:val="left" w:pos="540"/>
          <w:tab w:val="left" w:pos="1440"/>
        </w:tabs>
        <w:spacing w:after="0"/>
        <w:jc w:val="both"/>
        <w:rPr>
          <w:color w:val="auto"/>
          <w:lang w:eastAsia="en-US"/>
        </w:rPr>
      </w:pPr>
      <w:r w:rsidRPr="0064520E">
        <w:rPr>
          <w:color w:val="auto"/>
          <w:lang w:eastAsia="en-US"/>
        </w:rPr>
        <w:t>Spares would need to be carried for 2 different ranges.</w:t>
      </w:r>
    </w:p>
    <w:p w:rsidR="008B11B6" w:rsidRDefault="008B11B6" w:rsidP="008B11B6">
      <w:pPr>
        <w:numPr>
          <w:ilvl w:val="1"/>
          <w:numId w:val="34"/>
        </w:numPr>
        <w:tabs>
          <w:tab w:val="left" w:pos="540"/>
          <w:tab w:val="left" w:pos="1440"/>
        </w:tabs>
        <w:spacing w:after="0"/>
        <w:jc w:val="both"/>
        <w:rPr>
          <w:color w:val="auto"/>
          <w:lang w:eastAsia="en-US"/>
        </w:rPr>
      </w:pPr>
      <w:r w:rsidRPr="0064520E">
        <w:rPr>
          <w:color w:val="auto"/>
          <w:lang w:eastAsia="en-US"/>
        </w:rPr>
        <w:t xml:space="preserve">A whole kitchen may need replacing even if only 1 unit is beyond repair. </w:t>
      </w:r>
    </w:p>
    <w:p w:rsidR="008B11B6" w:rsidRPr="0064520E" w:rsidRDefault="008B11B6" w:rsidP="008B11B6">
      <w:pPr>
        <w:tabs>
          <w:tab w:val="left" w:pos="540"/>
          <w:tab w:val="left" w:pos="1440"/>
        </w:tabs>
        <w:spacing w:after="0"/>
        <w:ind w:left="1440"/>
        <w:jc w:val="both"/>
        <w:rPr>
          <w:color w:val="auto"/>
          <w:lang w:eastAsia="en-US"/>
        </w:rPr>
      </w:pPr>
    </w:p>
    <w:p w:rsidR="00082548" w:rsidRPr="0070063C" w:rsidRDefault="00082548" w:rsidP="00082548">
      <w:pPr>
        <w:pStyle w:val="bParagraphtext"/>
        <w:numPr>
          <w:ilvl w:val="0"/>
          <w:numId w:val="0"/>
        </w:numPr>
        <w:ind w:left="426" w:hanging="426"/>
      </w:pPr>
    </w:p>
    <w:p w:rsidR="0040736F" w:rsidRPr="00674E9D" w:rsidRDefault="002329CF" w:rsidP="004A6D2F">
      <w:pPr>
        <w:pStyle w:val="Heading1"/>
        <w:rPr>
          <w:color w:val="auto"/>
        </w:rPr>
      </w:pPr>
      <w:r w:rsidRPr="00674E9D">
        <w:rPr>
          <w:color w:val="auto"/>
        </w:rPr>
        <w:t>Financial implications</w:t>
      </w:r>
    </w:p>
    <w:p w:rsidR="00674E9D" w:rsidRDefault="00674E9D" w:rsidP="00674E9D">
      <w:pPr>
        <w:pStyle w:val="bParagraphtext"/>
      </w:pPr>
      <w:r>
        <w:t>The following table provides a summary of the benchmarking exercise:</w:t>
      </w:r>
    </w:p>
    <w:tbl>
      <w:tblPr>
        <w:tblW w:w="7994" w:type="dxa"/>
        <w:jc w:val="center"/>
        <w:tblLook w:val="04A0" w:firstRow="1" w:lastRow="0" w:firstColumn="1" w:lastColumn="0" w:noHBand="0" w:noVBand="1"/>
      </w:tblPr>
      <w:tblGrid>
        <w:gridCol w:w="1510"/>
        <w:gridCol w:w="1822"/>
        <w:gridCol w:w="1822"/>
        <w:gridCol w:w="1643"/>
        <w:gridCol w:w="1197"/>
      </w:tblGrid>
      <w:tr w:rsidR="00674E9D" w:rsidRPr="00082548" w:rsidTr="00857E42">
        <w:trPr>
          <w:trHeight w:val="84"/>
          <w:jc w:val="center"/>
        </w:trPr>
        <w:tc>
          <w:tcPr>
            <w:tcW w:w="1510" w:type="dxa"/>
            <w:tcBorders>
              <w:top w:val="nil"/>
              <w:left w:val="nil"/>
              <w:bottom w:val="nil"/>
              <w:right w:val="nil"/>
            </w:tcBorders>
            <w:shd w:val="clear" w:color="auto" w:fill="auto"/>
            <w:noWrap/>
            <w:vAlign w:val="center"/>
            <w:hideMark/>
          </w:tcPr>
          <w:p w:rsidR="00674E9D" w:rsidRPr="00082548" w:rsidRDefault="00674E9D" w:rsidP="00391801">
            <w:pPr>
              <w:spacing w:after="0"/>
              <w:rPr>
                <w:rFonts w:cs="Arial"/>
                <w:color w:val="auto"/>
                <w:sz w:val="20"/>
                <w:szCs w:val="20"/>
              </w:rPr>
            </w:pPr>
          </w:p>
        </w:tc>
        <w:tc>
          <w:tcPr>
            <w:tcW w:w="1822" w:type="dxa"/>
            <w:tcBorders>
              <w:top w:val="nil"/>
              <w:left w:val="nil"/>
              <w:bottom w:val="nil"/>
              <w:right w:val="nil"/>
            </w:tcBorders>
            <w:shd w:val="clear" w:color="auto" w:fill="auto"/>
            <w:noWrap/>
            <w:vAlign w:val="center"/>
            <w:hideMark/>
          </w:tcPr>
          <w:p w:rsidR="00674E9D" w:rsidRPr="00082548" w:rsidRDefault="00674E9D" w:rsidP="00391801">
            <w:pPr>
              <w:spacing w:after="0"/>
              <w:rPr>
                <w:rFonts w:cs="Arial"/>
                <w:color w:val="auto"/>
                <w:sz w:val="20"/>
                <w:szCs w:val="20"/>
              </w:rPr>
            </w:pPr>
          </w:p>
        </w:tc>
        <w:tc>
          <w:tcPr>
            <w:tcW w:w="1822" w:type="dxa"/>
            <w:tcBorders>
              <w:top w:val="nil"/>
              <w:left w:val="nil"/>
              <w:bottom w:val="nil"/>
              <w:right w:val="nil"/>
            </w:tcBorders>
            <w:shd w:val="clear" w:color="auto" w:fill="auto"/>
            <w:noWrap/>
            <w:vAlign w:val="center"/>
            <w:hideMark/>
          </w:tcPr>
          <w:p w:rsidR="00674E9D" w:rsidRPr="00082548" w:rsidRDefault="00674E9D" w:rsidP="00391801">
            <w:pPr>
              <w:spacing w:after="0"/>
              <w:rPr>
                <w:rFonts w:cs="Arial"/>
                <w:color w:val="auto"/>
                <w:sz w:val="20"/>
                <w:szCs w:val="20"/>
              </w:rPr>
            </w:pPr>
          </w:p>
        </w:tc>
        <w:tc>
          <w:tcPr>
            <w:tcW w:w="1643" w:type="dxa"/>
            <w:tcBorders>
              <w:top w:val="nil"/>
              <w:left w:val="nil"/>
              <w:bottom w:val="nil"/>
              <w:right w:val="nil"/>
            </w:tcBorders>
            <w:shd w:val="clear" w:color="auto" w:fill="auto"/>
            <w:noWrap/>
            <w:vAlign w:val="center"/>
            <w:hideMark/>
          </w:tcPr>
          <w:p w:rsidR="00674E9D" w:rsidRPr="00082548" w:rsidRDefault="00674E9D" w:rsidP="00391801">
            <w:pPr>
              <w:spacing w:after="0"/>
              <w:rPr>
                <w:rFonts w:cs="Arial"/>
                <w:color w:val="auto"/>
                <w:sz w:val="20"/>
                <w:szCs w:val="20"/>
              </w:rPr>
            </w:pPr>
          </w:p>
        </w:tc>
        <w:tc>
          <w:tcPr>
            <w:tcW w:w="1197" w:type="dxa"/>
            <w:tcBorders>
              <w:top w:val="nil"/>
              <w:left w:val="nil"/>
              <w:bottom w:val="nil"/>
              <w:right w:val="nil"/>
            </w:tcBorders>
            <w:shd w:val="clear" w:color="auto" w:fill="auto"/>
            <w:noWrap/>
            <w:vAlign w:val="center"/>
            <w:hideMark/>
          </w:tcPr>
          <w:p w:rsidR="00674E9D" w:rsidRPr="00082548" w:rsidRDefault="00674E9D" w:rsidP="00391801">
            <w:pPr>
              <w:spacing w:after="0"/>
              <w:rPr>
                <w:rFonts w:cs="Arial"/>
                <w:color w:val="auto"/>
                <w:sz w:val="20"/>
                <w:szCs w:val="20"/>
              </w:rPr>
            </w:pPr>
          </w:p>
        </w:tc>
      </w:tr>
      <w:tr w:rsidR="00674E9D" w:rsidRPr="00082548" w:rsidTr="00857E42">
        <w:trPr>
          <w:trHeight w:val="519"/>
          <w:jc w:val="center"/>
        </w:trPr>
        <w:tc>
          <w:tcPr>
            <w:tcW w:w="1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4E9D" w:rsidRPr="00082548" w:rsidRDefault="00674E9D" w:rsidP="00391801">
            <w:pPr>
              <w:spacing w:after="0"/>
              <w:rPr>
                <w:rFonts w:cs="Arial"/>
                <w:color w:val="auto"/>
              </w:rPr>
            </w:pPr>
            <w:r w:rsidRPr="00082548">
              <w:rPr>
                <w:rFonts w:cs="Arial"/>
                <w:color w:val="auto"/>
              </w:rPr>
              <w:t> </w:t>
            </w:r>
          </w:p>
        </w:tc>
        <w:tc>
          <w:tcPr>
            <w:tcW w:w="1822" w:type="dxa"/>
            <w:tcBorders>
              <w:top w:val="single" w:sz="4" w:space="0" w:color="auto"/>
              <w:left w:val="nil"/>
              <w:bottom w:val="single" w:sz="4" w:space="0" w:color="auto"/>
              <w:right w:val="single" w:sz="4" w:space="0" w:color="auto"/>
            </w:tcBorders>
            <w:shd w:val="clear" w:color="auto" w:fill="auto"/>
            <w:noWrap/>
            <w:vAlign w:val="center"/>
            <w:hideMark/>
          </w:tcPr>
          <w:p w:rsidR="00674E9D" w:rsidRPr="00082548" w:rsidRDefault="00674E9D" w:rsidP="00391801">
            <w:pPr>
              <w:spacing w:after="0"/>
              <w:rPr>
                <w:rFonts w:cs="Arial"/>
                <w:bCs/>
                <w:color w:val="auto"/>
              </w:rPr>
            </w:pPr>
            <w:r w:rsidRPr="00082548">
              <w:rPr>
                <w:rFonts w:cs="Arial"/>
                <w:bCs/>
                <w:color w:val="auto"/>
              </w:rPr>
              <w:t>Existing costs</w:t>
            </w:r>
          </w:p>
        </w:tc>
        <w:tc>
          <w:tcPr>
            <w:tcW w:w="1822" w:type="dxa"/>
            <w:tcBorders>
              <w:top w:val="single" w:sz="4" w:space="0" w:color="auto"/>
              <w:left w:val="nil"/>
              <w:bottom w:val="single" w:sz="4" w:space="0" w:color="auto"/>
              <w:right w:val="single" w:sz="4" w:space="0" w:color="auto"/>
            </w:tcBorders>
            <w:shd w:val="clear" w:color="auto" w:fill="auto"/>
            <w:noWrap/>
            <w:vAlign w:val="center"/>
            <w:hideMark/>
          </w:tcPr>
          <w:p w:rsidR="00674E9D" w:rsidRPr="00082548" w:rsidRDefault="00674E9D" w:rsidP="00391801">
            <w:pPr>
              <w:spacing w:after="0"/>
              <w:jc w:val="center"/>
              <w:rPr>
                <w:rFonts w:cs="Arial"/>
                <w:bCs/>
                <w:color w:val="auto"/>
              </w:rPr>
            </w:pPr>
            <w:r w:rsidRPr="00082548">
              <w:rPr>
                <w:rFonts w:cs="Arial"/>
                <w:bCs/>
                <w:color w:val="auto"/>
              </w:rPr>
              <w:t>LHC proposed costs</w:t>
            </w: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rsidR="00674E9D" w:rsidRPr="00082548" w:rsidRDefault="00674E9D" w:rsidP="00391801">
            <w:pPr>
              <w:spacing w:after="0"/>
              <w:rPr>
                <w:rFonts w:cs="Arial"/>
                <w:bCs/>
                <w:color w:val="auto"/>
              </w:rPr>
            </w:pPr>
            <w:r w:rsidRPr="00082548">
              <w:rPr>
                <w:rFonts w:cs="Arial"/>
                <w:bCs/>
                <w:color w:val="auto"/>
              </w:rPr>
              <w:t>Saving</w:t>
            </w:r>
          </w:p>
        </w:tc>
        <w:tc>
          <w:tcPr>
            <w:tcW w:w="1197" w:type="dxa"/>
            <w:tcBorders>
              <w:top w:val="single" w:sz="4" w:space="0" w:color="auto"/>
              <w:left w:val="nil"/>
              <w:bottom w:val="single" w:sz="4" w:space="0" w:color="auto"/>
              <w:right w:val="single" w:sz="4" w:space="0" w:color="auto"/>
            </w:tcBorders>
            <w:shd w:val="clear" w:color="auto" w:fill="auto"/>
            <w:noWrap/>
            <w:vAlign w:val="center"/>
            <w:hideMark/>
          </w:tcPr>
          <w:p w:rsidR="00674E9D" w:rsidRPr="00082548" w:rsidRDefault="00674E9D" w:rsidP="00391801">
            <w:pPr>
              <w:spacing w:after="0"/>
              <w:rPr>
                <w:rFonts w:cs="Arial"/>
                <w:bCs/>
                <w:color w:val="auto"/>
              </w:rPr>
            </w:pPr>
            <w:r w:rsidRPr="00082548">
              <w:rPr>
                <w:rFonts w:cs="Arial"/>
                <w:bCs/>
                <w:color w:val="auto"/>
              </w:rPr>
              <w:t>% saving</w:t>
            </w:r>
          </w:p>
        </w:tc>
      </w:tr>
      <w:tr w:rsidR="00674E9D" w:rsidRPr="00082548" w:rsidTr="00857E42">
        <w:trPr>
          <w:trHeight w:val="519"/>
          <w:jc w:val="center"/>
        </w:trPr>
        <w:tc>
          <w:tcPr>
            <w:tcW w:w="1510" w:type="dxa"/>
            <w:tcBorders>
              <w:top w:val="nil"/>
              <w:left w:val="single" w:sz="4" w:space="0" w:color="auto"/>
              <w:bottom w:val="single" w:sz="4" w:space="0" w:color="auto"/>
              <w:right w:val="single" w:sz="4" w:space="0" w:color="auto"/>
            </w:tcBorders>
            <w:shd w:val="clear" w:color="auto" w:fill="auto"/>
            <w:noWrap/>
            <w:vAlign w:val="center"/>
            <w:hideMark/>
          </w:tcPr>
          <w:p w:rsidR="00674E9D" w:rsidRPr="00082548" w:rsidRDefault="00674E9D" w:rsidP="00391801">
            <w:pPr>
              <w:spacing w:after="0"/>
              <w:rPr>
                <w:rFonts w:cs="Arial"/>
                <w:color w:val="auto"/>
              </w:rPr>
            </w:pPr>
            <w:r w:rsidRPr="00082548">
              <w:rPr>
                <w:rFonts w:cs="Arial"/>
                <w:color w:val="auto"/>
              </w:rPr>
              <w:t>Units</w:t>
            </w:r>
          </w:p>
        </w:tc>
        <w:tc>
          <w:tcPr>
            <w:tcW w:w="1822" w:type="dxa"/>
            <w:tcBorders>
              <w:top w:val="nil"/>
              <w:left w:val="nil"/>
              <w:bottom w:val="single" w:sz="4" w:space="0" w:color="auto"/>
              <w:right w:val="single" w:sz="4" w:space="0" w:color="auto"/>
            </w:tcBorders>
            <w:shd w:val="clear" w:color="auto" w:fill="auto"/>
            <w:noWrap/>
            <w:vAlign w:val="center"/>
            <w:hideMark/>
          </w:tcPr>
          <w:p w:rsidR="00674E9D" w:rsidRPr="00082548" w:rsidRDefault="00674E9D" w:rsidP="00391801">
            <w:pPr>
              <w:spacing w:after="0"/>
              <w:jc w:val="right"/>
              <w:rPr>
                <w:rFonts w:cs="Arial"/>
                <w:color w:val="auto"/>
              </w:rPr>
            </w:pPr>
            <w:r w:rsidRPr="00082548">
              <w:rPr>
                <w:rFonts w:cs="Arial"/>
                <w:color w:val="auto"/>
              </w:rPr>
              <w:t>£248,196.79</w:t>
            </w:r>
          </w:p>
        </w:tc>
        <w:tc>
          <w:tcPr>
            <w:tcW w:w="1822" w:type="dxa"/>
            <w:tcBorders>
              <w:top w:val="nil"/>
              <w:left w:val="nil"/>
              <w:bottom w:val="single" w:sz="4" w:space="0" w:color="auto"/>
              <w:right w:val="single" w:sz="4" w:space="0" w:color="auto"/>
            </w:tcBorders>
            <w:shd w:val="clear" w:color="auto" w:fill="auto"/>
            <w:noWrap/>
            <w:vAlign w:val="center"/>
            <w:hideMark/>
          </w:tcPr>
          <w:p w:rsidR="00674E9D" w:rsidRPr="00082548" w:rsidRDefault="00674E9D" w:rsidP="00391801">
            <w:pPr>
              <w:spacing w:after="0"/>
              <w:jc w:val="right"/>
              <w:rPr>
                <w:rFonts w:cs="Arial"/>
                <w:color w:val="auto"/>
              </w:rPr>
            </w:pPr>
            <w:r w:rsidRPr="00082548">
              <w:rPr>
                <w:rFonts w:cs="Arial"/>
                <w:color w:val="auto"/>
              </w:rPr>
              <w:t>£206,729.77</w:t>
            </w:r>
          </w:p>
        </w:tc>
        <w:tc>
          <w:tcPr>
            <w:tcW w:w="1643" w:type="dxa"/>
            <w:tcBorders>
              <w:top w:val="nil"/>
              <w:left w:val="nil"/>
              <w:bottom w:val="single" w:sz="4" w:space="0" w:color="auto"/>
              <w:right w:val="single" w:sz="4" w:space="0" w:color="auto"/>
            </w:tcBorders>
            <w:shd w:val="clear" w:color="auto" w:fill="auto"/>
            <w:noWrap/>
            <w:vAlign w:val="center"/>
            <w:hideMark/>
          </w:tcPr>
          <w:p w:rsidR="00674E9D" w:rsidRPr="00082548" w:rsidRDefault="00674E9D" w:rsidP="00391801">
            <w:pPr>
              <w:spacing w:after="0"/>
              <w:jc w:val="right"/>
              <w:rPr>
                <w:rFonts w:cs="Arial"/>
                <w:bCs/>
                <w:color w:val="auto"/>
              </w:rPr>
            </w:pPr>
            <w:r w:rsidRPr="00082548">
              <w:rPr>
                <w:rFonts w:cs="Arial"/>
                <w:bCs/>
                <w:color w:val="auto"/>
              </w:rPr>
              <w:t>£41,467.02</w:t>
            </w:r>
          </w:p>
        </w:tc>
        <w:tc>
          <w:tcPr>
            <w:tcW w:w="1197" w:type="dxa"/>
            <w:tcBorders>
              <w:top w:val="nil"/>
              <w:left w:val="nil"/>
              <w:bottom w:val="single" w:sz="4" w:space="0" w:color="auto"/>
              <w:right w:val="single" w:sz="4" w:space="0" w:color="auto"/>
            </w:tcBorders>
            <w:shd w:val="clear" w:color="auto" w:fill="auto"/>
            <w:noWrap/>
            <w:vAlign w:val="center"/>
            <w:hideMark/>
          </w:tcPr>
          <w:p w:rsidR="00674E9D" w:rsidRPr="00082548" w:rsidRDefault="00674E9D" w:rsidP="00391801">
            <w:pPr>
              <w:spacing w:after="0"/>
              <w:jc w:val="right"/>
              <w:rPr>
                <w:rFonts w:cs="Arial"/>
                <w:bCs/>
                <w:color w:val="auto"/>
              </w:rPr>
            </w:pPr>
            <w:r w:rsidRPr="00082548">
              <w:rPr>
                <w:rFonts w:cs="Arial"/>
                <w:bCs/>
                <w:color w:val="auto"/>
              </w:rPr>
              <w:t>16.71</w:t>
            </w:r>
          </w:p>
        </w:tc>
      </w:tr>
      <w:tr w:rsidR="00674E9D" w:rsidRPr="00082548" w:rsidTr="00857E42">
        <w:trPr>
          <w:trHeight w:val="519"/>
          <w:jc w:val="center"/>
        </w:trPr>
        <w:tc>
          <w:tcPr>
            <w:tcW w:w="1510" w:type="dxa"/>
            <w:tcBorders>
              <w:top w:val="nil"/>
              <w:left w:val="single" w:sz="4" w:space="0" w:color="auto"/>
              <w:bottom w:val="single" w:sz="4" w:space="0" w:color="auto"/>
              <w:right w:val="single" w:sz="4" w:space="0" w:color="auto"/>
            </w:tcBorders>
            <w:shd w:val="clear" w:color="auto" w:fill="auto"/>
            <w:noWrap/>
            <w:vAlign w:val="center"/>
            <w:hideMark/>
          </w:tcPr>
          <w:p w:rsidR="00674E9D" w:rsidRPr="00082548" w:rsidRDefault="00674E9D" w:rsidP="00391801">
            <w:pPr>
              <w:spacing w:after="0"/>
              <w:rPr>
                <w:rFonts w:cs="Arial"/>
                <w:color w:val="auto"/>
              </w:rPr>
            </w:pPr>
            <w:r w:rsidRPr="00082548">
              <w:rPr>
                <w:rFonts w:cs="Arial"/>
                <w:color w:val="auto"/>
              </w:rPr>
              <w:t>Accessories</w:t>
            </w:r>
          </w:p>
        </w:tc>
        <w:tc>
          <w:tcPr>
            <w:tcW w:w="1822" w:type="dxa"/>
            <w:tcBorders>
              <w:top w:val="nil"/>
              <w:left w:val="nil"/>
              <w:bottom w:val="single" w:sz="4" w:space="0" w:color="auto"/>
              <w:right w:val="single" w:sz="4" w:space="0" w:color="auto"/>
            </w:tcBorders>
            <w:shd w:val="clear" w:color="auto" w:fill="auto"/>
            <w:noWrap/>
            <w:vAlign w:val="center"/>
            <w:hideMark/>
          </w:tcPr>
          <w:p w:rsidR="00674E9D" w:rsidRPr="00082548" w:rsidRDefault="00674E9D" w:rsidP="00391801">
            <w:pPr>
              <w:spacing w:after="0"/>
              <w:jc w:val="right"/>
              <w:rPr>
                <w:rFonts w:cs="Arial"/>
                <w:color w:val="auto"/>
              </w:rPr>
            </w:pPr>
            <w:r w:rsidRPr="00082548">
              <w:rPr>
                <w:rFonts w:cs="Arial"/>
                <w:color w:val="auto"/>
              </w:rPr>
              <w:t>£72,905.46</w:t>
            </w:r>
          </w:p>
        </w:tc>
        <w:tc>
          <w:tcPr>
            <w:tcW w:w="1822" w:type="dxa"/>
            <w:tcBorders>
              <w:top w:val="nil"/>
              <w:left w:val="nil"/>
              <w:bottom w:val="single" w:sz="4" w:space="0" w:color="auto"/>
              <w:right w:val="single" w:sz="4" w:space="0" w:color="auto"/>
            </w:tcBorders>
            <w:shd w:val="clear" w:color="auto" w:fill="auto"/>
            <w:noWrap/>
            <w:vAlign w:val="center"/>
            <w:hideMark/>
          </w:tcPr>
          <w:p w:rsidR="00674E9D" w:rsidRPr="00082548" w:rsidRDefault="00674E9D" w:rsidP="00391801">
            <w:pPr>
              <w:spacing w:after="0"/>
              <w:jc w:val="right"/>
              <w:rPr>
                <w:rFonts w:cs="Arial"/>
                <w:color w:val="auto"/>
              </w:rPr>
            </w:pPr>
            <w:r w:rsidRPr="00082548">
              <w:rPr>
                <w:rFonts w:cs="Arial"/>
                <w:color w:val="auto"/>
              </w:rPr>
              <w:t>£68,639.90</w:t>
            </w:r>
          </w:p>
        </w:tc>
        <w:tc>
          <w:tcPr>
            <w:tcW w:w="1643" w:type="dxa"/>
            <w:tcBorders>
              <w:top w:val="nil"/>
              <w:left w:val="nil"/>
              <w:bottom w:val="single" w:sz="4" w:space="0" w:color="auto"/>
              <w:right w:val="single" w:sz="4" w:space="0" w:color="auto"/>
            </w:tcBorders>
            <w:shd w:val="clear" w:color="auto" w:fill="auto"/>
            <w:noWrap/>
            <w:vAlign w:val="center"/>
            <w:hideMark/>
          </w:tcPr>
          <w:p w:rsidR="00674E9D" w:rsidRPr="00082548" w:rsidRDefault="00674E9D" w:rsidP="00391801">
            <w:pPr>
              <w:spacing w:after="0"/>
              <w:jc w:val="right"/>
              <w:rPr>
                <w:rFonts w:cs="Arial"/>
                <w:bCs/>
                <w:color w:val="auto"/>
              </w:rPr>
            </w:pPr>
            <w:r w:rsidRPr="00082548">
              <w:rPr>
                <w:rFonts w:cs="Arial"/>
                <w:bCs/>
                <w:color w:val="auto"/>
              </w:rPr>
              <w:t>£4,265.56</w:t>
            </w:r>
          </w:p>
        </w:tc>
        <w:tc>
          <w:tcPr>
            <w:tcW w:w="1197" w:type="dxa"/>
            <w:tcBorders>
              <w:top w:val="nil"/>
              <w:left w:val="nil"/>
              <w:bottom w:val="single" w:sz="4" w:space="0" w:color="auto"/>
              <w:right w:val="single" w:sz="4" w:space="0" w:color="auto"/>
            </w:tcBorders>
            <w:shd w:val="clear" w:color="auto" w:fill="auto"/>
            <w:noWrap/>
            <w:vAlign w:val="center"/>
            <w:hideMark/>
          </w:tcPr>
          <w:p w:rsidR="00674E9D" w:rsidRPr="00082548" w:rsidRDefault="00674E9D" w:rsidP="00391801">
            <w:pPr>
              <w:spacing w:after="0"/>
              <w:jc w:val="right"/>
              <w:rPr>
                <w:rFonts w:cs="Arial"/>
                <w:bCs/>
                <w:color w:val="auto"/>
              </w:rPr>
            </w:pPr>
            <w:r w:rsidRPr="00082548">
              <w:rPr>
                <w:rFonts w:cs="Arial"/>
                <w:bCs/>
                <w:color w:val="auto"/>
              </w:rPr>
              <w:t>5.85</w:t>
            </w:r>
          </w:p>
        </w:tc>
      </w:tr>
      <w:tr w:rsidR="00674E9D" w:rsidRPr="00082548" w:rsidTr="00857E42">
        <w:trPr>
          <w:trHeight w:val="640"/>
          <w:jc w:val="center"/>
        </w:trPr>
        <w:tc>
          <w:tcPr>
            <w:tcW w:w="1510" w:type="dxa"/>
            <w:tcBorders>
              <w:top w:val="nil"/>
              <w:left w:val="single" w:sz="4" w:space="0" w:color="auto"/>
              <w:bottom w:val="single" w:sz="4" w:space="0" w:color="auto"/>
              <w:right w:val="single" w:sz="4" w:space="0" w:color="auto"/>
            </w:tcBorders>
            <w:shd w:val="clear" w:color="auto" w:fill="auto"/>
            <w:noWrap/>
            <w:vAlign w:val="center"/>
            <w:hideMark/>
          </w:tcPr>
          <w:p w:rsidR="00674E9D" w:rsidRPr="00082548" w:rsidRDefault="00674E9D" w:rsidP="00391801">
            <w:pPr>
              <w:spacing w:after="0"/>
              <w:rPr>
                <w:rFonts w:cs="Arial"/>
                <w:bCs/>
                <w:color w:val="auto"/>
              </w:rPr>
            </w:pPr>
            <w:r w:rsidRPr="00082548">
              <w:rPr>
                <w:rFonts w:cs="Arial"/>
                <w:bCs/>
                <w:color w:val="auto"/>
              </w:rPr>
              <w:t>Totals</w:t>
            </w:r>
          </w:p>
        </w:tc>
        <w:tc>
          <w:tcPr>
            <w:tcW w:w="1822" w:type="dxa"/>
            <w:tcBorders>
              <w:top w:val="nil"/>
              <w:left w:val="nil"/>
              <w:bottom w:val="single" w:sz="4" w:space="0" w:color="auto"/>
              <w:right w:val="single" w:sz="4" w:space="0" w:color="auto"/>
            </w:tcBorders>
            <w:shd w:val="clear" w:color="auto" w:fill="auto"/>
            <w:noWrap/>
            <w:vAlign w:val="center"/>
            <w:hideMark/>
          </w:tcPr>
          <w:p w:rsidR="00674E9D" w:rsidRPr="00082548" w:rsidRDefault="00674E9D" w:rsidP="00391801">
            <w:pPr>
              <w:spacing w:after="0"/>
              <w:jc w:val="right"/>
              <w:rPr>
                <w:rFonts w:cs="Arial"/>
                <w:bCs/>
                <w:color w:val="auto"/>
              </w:rPr>
            </w:pPr>
            <w:r w:rsidRPr="00082548">
              <w:rPr>
                <w:rFonts w:cs="Arial"/>
                <w:bCs/>
                <w:color w:val="auto"/>
              </w:rPr>
              <w:t>£321,102.25</w:t>
            </w:r>
          </w:p>
        </w:tc>
        <w:tc>
          <w:tcPr>
            <w:tcW w:w="1822" w:type="dxa"/>
            <w:tcBorders>
              <w:top w:val="nil"/>
              <w:left w:val="nil"/>
              <w:bottom w:val="single" w:sz="4" w:space="0" w:color="auto"/>
              <w:right w:val="single" w:sz="4" w:space="0" w:color="auto"/>
            </w:tcBorders>
            <w:shd w:val="clear" w:color="auto" w:fill="auto"/>
            <w:noWrap/>
            <w:vAlign w:val="center"/>
            <w:hideMark/>
          </w:tcPr>
          <w:p w:rsidR="00674E9D" w:rsidRPr="00082548" w:rsidRDefault="00674E9D" w:rsidP="00391801">
            <w:pPr>
              <w:spacing w:after="0"/>
              <w:jc w:val="right"/>
              <w:rPr>
                <w:rFonts w:cs="Arial"/>
                <w:bCs/>
                <w:color w:val="auto"/>
              </w:rPr>
            </w:pPr>
            <w:r w:rsidRPr="00082548">
              <w:rPr>
                <w:rFonts w:cs="Arial"/>
                <w:bCs/>
                <w:color w:val="auto"/>
              </w:rPr>
              <w:t>£275,369.67</w:t>
            </w:r>
          </w:p>
        </w:tc>
        <w:tc>
          <w:tcPr>
            <w:tcW w:w="1643" w:type="dxa"/>
            <w:tcBorders>
              <w:top w:val="nil"/>
              <w:left w:val="nil"/>
              <w:bottom w:val="single" w:sz="4" w:space="0" w:color="auto"/>
              <w:right w:val="single" w:sz="4" w:space="0" w:color="auto"/>
            </w:tcBorders>
            <w:shd w:val="clear" w:color="auto" w:fill="auto"/>
            <w:noWrap/>
            <w:vAlign w:val="center"/>
            <w:hideMark/>
          </w:tcPr>
          <w:p w:rsidR="00674E9D" w:rsidRPr="003E0C61" w:rsidRDefault="00674E9D" w:rsidP="00391801">
            <w:pPr>
              <w:spacing w:after="0"/>
              <w:jc w:val="right"/>
              <w:rPr>
                <w:rFonts w:cs="Arial"/>
                <w:bCs/>
                <w:color w:val="FF0000"/>
              </w:rPr>
            </w:pPr>
            <w:r w:rsidRPr="003E0C61">
              <w:rPr>
                <w:rFonts w:cs="Arial"/>
                <w:bCs/>
                <w:color w:val="auto"/>
              </w:rPr>
              <w:t>£45,732.58</w:t>
            </w:r>
          </w:p>
        </w:tc>
        <w:tc>
          <w:tcPr>
            <w:tcW w:w="1197" w:type="dxa"/>
            <w:tcBorders>
              <w:top w:val="nil"/>
              <w:left w:val="nil"/>
              <w:bottom w:val="single" w:sz="4" w:space="0" w:color="auto"/>
              <w:right w:val="single" w:sz="4" w:space="0" w:color="auto"/>
            </w:tcBorders>
            <w:shd w:val="clear" w:color="auto" w:fill="auto"/>
            <w:noWrap/>
            <w:vAlign w:val="center"/>
            <w:hideMark/>
          </w:tcPr>
          <w:p w:rsidR="00674E9D" w:rsidRPr="00082548" w:rsidRDefault="00674E9D" w:rsidP="00391801">
            <w:pPr>
              <w:spacing w:after="0"/>
              <w:rPr>
                <w:rFonts w:cs="Arial"/>
                <w:color w:val="auto"/>
              </w:rPr>
            </w:pPr>
            <w:r w:rsidRPr="00082548">
              <w:rPr>
                <w:rFonts w:cs="Arial"/>
                <w:color w:val="auto"/>
              </w:rPr>
              <w:t> </w:t>
            </w:r>
          </w:p>
        </w:tc>
      </w:tr>
    </w:tbl>
    <w:p w:rsidR="00674E9D" w:rsidRPr="00674E9D" w:rsidRDefault="00674E9D" w:rsidP="00674E9D"/>
    <w:p w:rsidR="00674E9D" w:rsidRPr="003E0C61" w:rsidRDefault="003A3A2D" w:rsidP="003A3A2D">
      <w:pPr>
        <w:pStyle w:val="Heading1"/>
        <w:ind w:left="426"/>
        <w:rPr>
          <w:b w:val="0"/>
          <w:color w:val="auto"/>
        </w:rPr>
      </w:pPr>
      <w:r>
        <w:rPr>
          <w:b w:val="0"/>
          <w:color w:val="auto"/>
        </w:rPr>
        <w:t xml:space="preserve">The exercise highlighted </w:t>
      </w:r>
      <w:r w:rsidR="003E0C61" w:rsidRPr="003E0C61">
        <w:rPr>
          <w:b w:val="0"/>
          <w:color w:val="auto"/>
        </w:rPr>
        <w:t xml:space="preserve">the potential to save approximately £45,000 </w:t>
      </w:r>
      <w:r w:rsidR="003E0C61">
        <w:rPr>
          <w:b w:val="0"/>
          <w:color w:val="auto"/>
        </w:rPr>
        <w:t xml:space="preserve">per annum by procuring through the LHC </w:t>
      </w:r>
      <w:r w:rsidR="003E0C61" w:rsidRPr="003E0C61">
        <w:rPr>
          <w:b w:val="0"/>
          <w:color w:val="auto"/>
        </w:rPr>
        <w:t>Framework as opposed to the existing arrangement.</w:t>
      </w:r>
      <w:r>
        <w:rPr>
          <w:b w:val="0"/>
          <w:color w:val="auto"/>
        </w:rPr>
        <w:t xml:space="preserve">  This equates to a potential saving of £180,000 over the proposed life of the contract</w:t>
      </w:r>
      <w:r w:rsidR="009E3B29">
        <w:rPr>
          <w:b w:val="0"/>
          <w:color w:val="auto"/>
        </w:rPr>
        <w:t xml:space="preserve"> which would reduce</w:t>
      </w:r>
      <w:r w:rsidR="008B11B6">
        <w:rPr>
          <w:b w:val="0"/>
          <w:color w:val="auto"/>
        </w:rPr>
        <w:t xml:space="preserve"> the cost of building works operations in Oxford Direct Services</w:t>
      </w:r>
      <w:r w:rsidR="009E3B29">
        <w:rPr>
          <w:b w:val="0"/>
          <w:color w:val="auto"/>
        </w:rPr>
        <w:t>.</w:t>
      </w:r>
    </w:p>
    <w:p w:rsidR="005A531C" w:rsidRDefault="005A531C" w:rsidP="004A6D2F">
      <w:pPr>
        <w:pStyle w:val="Heading1"/>
        <w:rPr>
          <w:color w:val="auto"/>
        </w:rPr>
      </w:pPr>
    </w:p>
    <w:p w:rsidR="002329CF" w:rsidRPr="003E0C61" w:rsidRDefault="002329CF" w:rsidP="004A6D2F">
      <w:pPr>
        <w:pStyle w:val="Heading1"/>
        <w:rPr>
          <w:color w:val="auto"/>
        </w:rPr>
      </w:pPr>
      <w:r w:rsidRPr="003E0C61">
        <w:rPr>
          <w:color w:val="auto"/>
        </w:rPr>
        <w:t>Level of risk</w:t>
      </w:r>
    </w:p>
    <w:p w:rsidR="00BC69A4" w:rsidRPr="005301E4" w:rsidRDefault="003E0C61" w:rsidP="005570B5">
      <w:pPr>
        <w:pStyle w:val="ListParagraph"/>
        <w:rPr>
          <w:color w:val="auto"/>
        </w:rPr>
      </w:pPr>
      <w:r w:rsidRPr="005301E4">
        <w:rPr>
          <w:color w:val="auto"/>
        </w:rPr>
        <w:t>A Risk Register is attached at Appendix 1.</w:t>
      </w:r>
    </w:p>
    <w:p w:rsidR="003A3A2D" w:rsidRDefault="003A3A2D" w:rsidP="0050321C">
      <w:pPr>
        <w:pStyle w:val="Heading1"/>
        <w:rPr>
          <w:color w:val="auto"/>
        </w:rPr>
      </w:pPr>
    </w:p>
    <w:p w:rsidR="002329CF" w:rsidRPr="000F320F" w:rsidRDefault="002329CF" w:rsidP="0050321C">
      <w:pPr>
        <w:pStyle w:val="Heading1"/>
        <w:rPr>
          <w:color w:val="auto"/>
        </w:rPr>
      </w:pPr>
      <w:r w:rsidRPr="000F320F">
        <w:rPr>
          <w:color w:val="auto"/>
        </w:rPr>
        <w:t xml:space="preserve">Equalities impact </w:t>
      </w:r>
    </w:p>
    <w:p w:rsidR="002329CF" w:rsidRPr="00197C56" w:rsidRDefault="000F320F" w:rsidP="005570B5">
      <w:pPr>
        <w:pStyle w:val="ListParagraph"/>
        <w:rPr>
          <w:color w:val="auto"/>
        </w:rPr>
      </w:pPr>
      <w:r w:rsidRPr="00197C56">
        <w:rPr>
          <w:color w:val="auto"/>
        </w:rPr>
        <w:t>A</w:t>
      </w:r>
      <w:r w:rsidR="00E87F7A" w:rsidRPr="00197C56">
        <w:rPr>
          <w:color w:val="auto"/>
        </w:rPr>
        <w:t>n Equalities Imp</w:t>
      </w:r>
      <w:r w:rsidRPr="00197C56">
        <w:rPr>
          <w:color w:val="auto"/>
        </w:rPr>
        <w:t xml:space="preserve">act Assessment is not deemed necessary </w:t>
      </w:r>
      <w:r w:rsidR="006D7C8D" w:rsidRPr="00197C56">
        <w:rPr>
          <w:color w:val="auto"/>
        </w:rPr>
        <w:t>for this project.</w:t>
      </w:r>
      <w:r w:rsidRPr="00197C56">
        <w:rPr>
          <w:color w:val="auto"/>
        </w:rPr>
        <w:t xml:space="preserve"> </w:t>
      </w:r>
    </w:p>
    <w:p w:rsidR="00857E42" w:rsidRDefault="00857E42" w:rsidP="00E87F7A">
      <w:pPr>
        <w:pStyle w:val="Heading1"/>
      </w:pPr>
    </w:p>
    <w:p w:rsidR="00E87F7A" w:rsidRDefault="00E87F7A" w:rsidP="00E87F7A">
      <w:pPr>
        <w:pStyle w:val="Heading1"/>
      </w:pPr>
    </w:p>
    <w:p w:rsidR="009E3B29" w:rsidRDefault="009E3B29" w:rsidP="009E3B29"/>
    <w:p w:rsidR="009E3B29" w:rsidRDefault="009E3B29" w:rsidP="009E3B29"/>
    <w:p w:rsidR="009E3B29" w:rsidRDefault="009E3B29" w:rsidP="009E3B29"/>
    <w:p w:rsidR="009E3B29" w:rsidRDefault="009E3B29" w:rsidP="009E3B29"/>
    <w:p w:rsidR="009E3B29" w:rsidRPr="009E3B29" w:rsidRDefault="009E3B29" w:rsidP="009E3B29"/>
    <w:p w:rsidR="00674E9D" w:rsidRPr="0064520E" w:rsidRDefault="00674E9D" w:rsidP="00674E9D">
      <w:pPr>
        <w:tabs>
          <w:tab w:val="left" w:pos="540"/>
          <w:tab w:val="left" w:pos="1440"/>
        </w:tabs>
        <w:spacing w:after="0"/>
        <w:ind w:left="1440"/>
        <w:jc w:val="both"/>
        <w:rPr>
          <w:color w:val="auto"/>
          <w:lang w:eastAsia="en-US"/>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674E9D" w:rsidP="00A46E98">
            <w:r>
              <w:t>Matthew Stevenson</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674E9D" w:rsidP="00A46E98">
            <w:r>
              <w:t>Contracts</w:t>
            </w:r>
            <w:r w:rsidR="004F7725">
              <w:t xml:space="preserve"> and Procurement Specialist</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4F7725" w:rsidP="00A46E98">
            <w:r>
              <w:t>Financial Services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4F7725" w:rsidP="00A46E98">
            <w:r>
              <w:t>01865 252535</w:t>
            </w:r>
            <w:r w:rsidR="00E87F7A"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4F7725" w:rsidP="00A46E98">
            <w:pPr>
              <w:rPr>
                <w:rStyle w:val="Hyperlink"/>
                <w:color w:val="000000"/>
              </w:rPr>
            </w:pPr>
            <w:r>
              <w:rPr>
                <w:rStyle w:val="Hyperlink"/>
                <w:color w:val="000000"/>
              </w:rPr>
              <w:t>mstevenson@oxford.gov.uk</w:t>
            </w:r>
          </w:p>
        </w:tc>
      </w:tr>
    </w:tbl>
    <w:p w:rsidR="00433B96" w:rsidRDefault="00433B96" w:rsidP="004A6D2F"/>
    <w:p w:rsidR="00857E42" w:rsidRDefault="00857E42" w:rsidP="004A6D2F">
      <w:pPr>
        <w:rPr>
          <w:b/>
        </w:rPr>
      </w:pPr>
    </w:p>
    <w:p w:rsidR="0095009A" w:rsidRPr="001356F1" w:rsidRDefault="00ED2097" w:rsidP="004A6D2F">
      <w:r w:rsidRPr="00ED2097">
        <w:rPr>
          <w:b/>
        </w:rPr>
        <w:t>Background Papers:</w:t>
      </w:r>
      <w:r w:rsidRPr="00ED2097">
        <w:t xml:space="preserve"> None</w:t>
      </w:r>
    </w:p>
    <w:p w:rsidR="00CE4C87" w:rsidRDefault="00CE4C87" w:rsidP="0093067A"/>
    <w:sectPr w:rsidR="00CE4C87"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0DD" w:rsidRDefault="00C410DD" w:rsidP="004A6D2F">
      <w:r>
        <w:separator/>
      </w:r>
    </w:p>
  </w:endnote>
  <w:endnote w:type="continuationSeparator" w:id="0">
    <w:p w:rsidR="00C410DD" w:rsidRDefault="00C410DD"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0DD" w:rsidRDefault="00C410DD" w:rsidP="004A6D2F">
      <w:r>
        <w:separator/>
      </w:r>
    </w:p>
  </w:footnote>
  <w:footnote w:type="continuationSeparator" w:id="0">
    <w:p w:rsidR="00C410DD" w:rsidRDefault="00C410DD"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562557" w:rsidP="00D5547E">
    <w:pPr>
      <w:pStyle w:val="Header"/>
      <w:jc w:val="right"/>
    </w:pPr>
    <w:r>
      <w:rPr>
        <w:noProof/>
      </w:rPr>
      <w:drawing>
        <wp:inline distT="0" distB="0" distL="0" distR="0" wp14:anchorId="2ED784FA" wp14:editId="1D153AB2">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2263A6A"/>
    <w:multiLevelType w:val="multilevel"/>
    <w:tmpl w:val="43D6D2FA"/>
    <w:numStyleLink w:val="StyleBulletedSymbolsymbolLeft063cmHanging063cm"/>
  </w:abstractNum>
  <w:abstractNum w:abstractNumId="18">
    <w:nsid w:val="29943D41"/>
    <w:multiLevelType w:val="hybridMultilevel"/>
    <w:tmpl w:val="369EAD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ABA5FD8"/>
    <w:multiLevelType w:val="multilevel"/>
    <w:tmpl w:val="43D6D2FA"/>
    <w:numStyleLink w:val="StyleBulletedSymbolsymbolLeft063cmHanging063cm"/>
  </w:abstractNum>
  <w:abstractNum w:abstractNumId="28">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2A22831"/>
    <w:multiLevelType w:val="multilevel"/>
    <w:tmpl w:val="43D6D2FA"/>
    <w:numStyleLink w:val="StyleBulletedSymbolsymbolLeft063cmHanging063cm"/>
  </w:abstractNum>
  <w:abstractNum w:abstractNumId="30">
    <w:nsid w:val="64F26212"/>
    <w:multiLevelType w:val="hybridMultilevel"/>
    <w:tmpl w:val="07BE61F6"/>
    <w:lvl w:ilvl="0" w:tplc="08090001">
      <w:start w:val="1"/>
      <w:numFmt w:val="bullet"/>
      <w:lvlText w:val=""/>
      <w:lvlJc w:val="left"/>
      <w:pPr>
        <w:ind w:left="3840" w:hanging="360"/>
      </w:pPr>
      <w:rPr>
        <w:rFonts w:ascii="Symbol" w:hAnsi="Symbol" w:hint="default"/>
      </w:rPr>
    </w:lvl>
    <w:lvl w:ilvl="1" w:tplc="08090003">
      <w:start w:val="1"/>
      <w:numFmt w:val="bullet"/>
      <w:lvlText w:val="o"/>
      <w:lvlJc w:val="left"/>
      <w:pPr>
        <w:ind w:left="4560" w:hanging="360"/>
      </w:pPr>
      <w:rPr>
        <w:rFonts w:ascii="Courier New" w:hAnsi="Courier New" w:cs="Courier New" w:hint="default"/>
      </w:rPr>
    </w:lvl>
    <w:lvl w:ilvl="2" w:tplc="08090005" w:tentative="1">
      <w:start w:val="1"/>
      <w:numFmt w:val="bullet"/>
      <w:lvlText w:val=""/>
      <w:lvlJc w:val="left"/>
      <w:pPr>
        <w:ind w:left="5280" w:hanging="360"/>
      </w:pPr>
      <w:rPr>
        <w:rFonts w:ascii="Wingdings" w:hAnsi="Wingdings" w:hint="default"/>
      </w:rPr>
    </w:lvl>
    <w:lvl w:ilvl="3" w:tplc="08090001" w:tentative="1">
      <w:start w:val="1"/>
      <w:numFmt w:val="bullet"/>
      <w:lvlText w:val=""/>
      <w:lvlJc w:val="left"/>
      <w:pPr>
        <w:ind w:left="6000" w:hanging="360"/>
      </w:pPr>
      <w:rPr>
        <w:rFonts w:ascii="Symbol" w:hAnsi="Symbol" w:hint="default"/>
      </w:rPr>
    </w:lvl>
    <w:lvl w:ilvl="4" w:tplc="08090003" w:tentative="1">
      <w:start w:val="1"/>
      <w:numFmt w:val="bullet"/>
      <w:lvlText w:val="o"/>
      <w:lvlJc w:val="left"/>
      <w:pPr>
        <w:ind w:left="6720" w:hanging="360"/>
      </w:pPr>
      <w:rPr>
        <w:rFonts w:ascii="Courier New" w:hAnsi="Courier New" w:cs="Courier New" w:hint="default"/>
      </w:rPr>
    </w:lvl>
    <w:lvl w:ilvl="5" w:tplc="08090005" w:tentative="1">
      <w:start w:val="1"/>
      <w:numFmt w:val="bullet"/>
      <w:lvlText w:val=""/>
      <w:lvlJc w:val="left"/>
      <w:pPr>
        <w:ind w:left="7440" w:hanging="360"/>
      </w:pPr>
      <w:rPr>
        <w:rFonts w:ascii="Wingdings" w:hAnsi="Wingdings" w:hint="default"/>
      </w:rPr>
    </w:lvl>
    <w:lvl w:ilvl="6" w:tplc="08090001" w:tentative="1">
      <w:start w:val="1"/>
      <w:numFmt w:val="bullet"/>
      <w:lvlText w:val=""/>
      <w:lvlJc w:val="left"/>
      <w:pPr>
        <w:ind w:left="8160" w:hanging="360"/>
      </w:pPr>
      <w:rPr>
        <w:rFonts w:ascii="Symbol" w:hAnsi="Symbol" w:hint="default"/>
      </w:rPr>
    </w:lvl>
    <w:lvl w:ilvl="7" w:tplc="08090003" w:tentative="1">
      <w:start w:val="1"/>
      <w:numFmt w:val="bullet"/>
      <w:lvlText w:val="o"/>
      <w:lvlJc w:val="left"/>
      <w:pPr>
        <w:ind w:left="8880" w:hanging="360"/>
      </w:pPr>
      <w:rPr>
        <w:rFonts w:ascii="Courier New" w:hAnsi="Courier New" w:cs="Courier New" w:hint="default"/>
      </w:rPr>
    </w:lvl>
    <w:lvl w:ilvl="8" w:tplc="08090005" w:tentative="1">
      <w:start w:val="1"/>
      <w:numFmt w:val="bullet"/>
      <w:lvlText w:val=""/>
      <w:lvlJc w:val="left"/>
      <w:pPr>
        <w:ind w:left="9600" w:hanging="360"/>
      </w:pPr>
      <w:rPr>
        <w:rFonts w:ascii="Wingdings" w:hAnsi="Wingdings" w:hint="default"/>
      </w:rPr>
    </w:lvl>
  </w:abstractNum>
  <w:abstractNum w:abstractNumId="31">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798365C6"/>
    <w:multiLevelType w:val="multilevel"/>
    <w:tmpl w:val="E67CE66C"/>
    <w:numStyleLink w:val="StyleNumberedLeft0cmHanging075cm"/>
  </w:abstractNum>
  <w:num w:numId="1">
    <w:abstractNumId w:val="26"/>
  </w:num>
  <w:num w:numId="2">
    <w:abstractNumId w:val="32"/>
  </w:num>
  <w:num w:numId="3">
    <w:abstractNumId w:val="23"/>
  </w:num>
  <w:num w:numId="4">
    <w:abstractNumId w:val="19"/>
  </w:num>
  <w:num w:numId="5">
    <w:abstractNumId w:val="28"/>
  </w:num>
  <w:num w:numId="6">
    <w:abstractNumId w:val="33"/>
  </w:num>
  <w:num w:numId="7">
    <w:abstractNumId w:val="22"/>
  </w:num>
  <w:num w:numId="8">
    <w:abstractNumId w:val="20"/>
  </w:num>
  <w:num w:numId="9">
    <w:abstractNumId w:val="13"/>
  </w:num>
  <w:num w:numId="10">
    <w:abstractNumId w:val="15"/>
  </w:num>
  <w:num w:numId="11">
    <w:abstractNumId w:val="25"/>
  </w:num>
  <w:num w:numId="12">
    <w:abstractNumId w:val="24"/>
  </w:num>
  <w:num w:numId="13">
    <w:abstractNumId w:val="10"/>
  </w:num>
  <w:num w:numId="14">
    <w:abstractNumId w:val="34"/>
  </w:num>
  <w:num w:numId="15">
    <w:abstractNumId w:val="16"/>
  </w:num>
  <w:num w:numId="16">
    <w:abstractNumId w:val="11"/>
  </w:num>
  <w:num w:numId="17">
    <w:abstractNumId w:val="27"/>
  </w:num>
  <w:num w:numId="18">
    <w:abstractNumId w:val="12"/>
  </w:num>
  <w:num w:numId="19">
    <w:abstractNumId w:val="29"/>
  </w:num>
  <w:num w:numId="20">
    <w:abstractNumId w:val="17"/>
  </w:num>
  <w:num w:numId="21">
    <w:abstractNumId w:val="21"/>
  </w:num>
  <w:num w:numId="22">
    <w:abstractNumId w:val="14"/>
  </w:num>
  <w:num w:numId="23">
    <w:abstractNumId w:val="31"/>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8"/>
  </w:num>
  <w:num w:numId="35">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557"/>
    <w:rsid w:val="000076AA"/>
    <w:rsid w:val="000117D4"/>
    <w:rsid w:val="000314D7"/>
    <w:rsid w:val="00045F8B"/>
    <w:rsid w:val="00046D2B"/>
    <w:rsid w:val="00056263"/>
    <w:rsid w:val="00064D8A"/>
    <w:rsid w:val="00064F82"/>
    <w:rsid w:val="00066510"/>
    <w:rsid w:val="00077523"/>
    <w:rsid w:val="00082548"/>
    <w:rsid w:val="000C089F"/>
    <w:rsid w:val="000C3928"/>
    <w:rsid w:val="000C5E8E"/>
    <w:rsid w:val="000F320F"/>
    <w:rsid w:val="000F4751"/>
    <w:rsid w:val="0010524C"/>
    <w:rsid w:val="00111FB1"/>
    <w:rsid w:val="00113418"/>
    <w:rsid w:val="001356F1"/>
    <w:rsid w:val="00136994"/>
    <w:rsid w:val="0014128E"/>
    <w:rsid w:val="00151888"/>
    <w:rsid w:val="00170A2D"/>
    <w:rsid w:val="001808BC"/>
    <w:rsid w:val="00182B81"/>
    <w:rsid w:val="0018619D"/>
    <w:rsid w:val="00192C56"/>
    <w:rsid w:val="00197C56"/>
    <w:rsid w:val="001A011E"/>
    <w:rsid w:val="001A066A"/>
    <w:rsid w:val="001A13E6"/>
    <w:rsid w:val="001A5731"/>
    <w:rsid w:val="001B42C3"/>
    <w:rsid w:val="001C5D5E"/>
    <w:rsid w:val="001D678D"/>
    <w:rsid w:val="001E03F8"/>
    <w:rsid w:val="001E1678"/>
    <w:rsid w:val="001E3376"/>
    <w:rsid w:val="002069B3"/>
    <w:rsid w:val="002329CF"/>
    <w:rsid w:val="00232F5B"/>
    <w:rsid w:val="00247C29"/>
    <w:rsid w:val="00260467"/>
    <w:rsid w:val="00263EA3"/>
    <w:rsid w:val="00284F85"/>
    <w:rsid w:val="00290915"/>
    <w:rsid w:val="002A22E2"/>
    <w:rsid w:val="002B14CA"/>
    <w:rsid w:val="002C64F7"/>
    <w:rsid w:val="002F41F2"/>
    <w:rsid w:val="00301BF3"/>
    <w:rsid w:val="0030208D"/>
    <w:rsid w:val="00317DC7"/>
    <w:rsid w:val="00323418"/>
    <w:rsid w:val="003357BF"/>
    <w:rsid w:val="00364FAD"/>
    <w:rsid w:val="0036738F"/>
    <w:rsid w:val="0036759C"/>
    <w:rsid w:val="00367AE5"/>
    <w:rsid w:val="00367D71"/>
    <w:rsid w:val="0038150A"/>
    <w:rsid w:val="003902AE"/>
    <w:rsid w:val="003960E9"/>
    <w:rsid w:val="003A3A2D"/>
    <w:rsid w:val="003B6E75"/>
    <w:rsid w:val="003B7DA1"/>
    <w:rsid w:val="003D0379"/>
    <w:rsid w:val="003D2574"/>
    <w:rsid w:val="003D4C59"/>
    <w:rsid w:val="003E0C61"/>
    <w:rsid w:val="003F4267"/>
    <w:rsid w:val="00404032"/>
    <w:rsid w:val="0040736F"/>
    <w:rsid w:val="00412C1F"/>
    <w:rsid w:val="00421CB2"/>
    <w:rsid w:val="004268B9"/>
    <w:rsid w:val="00433B96"/>
    <w:rsid w:val="004440F1"/>
    <w:rsid w:val="004456DD"/>
    <w:rsid w:val="00446CDF"/>
    <w:rsid w:val="004521B7"/>
    <w:rsid w:val="00462AB5"/>
    <w:rsid w:val="00465EAF"/>
    <w:rsid w:val="004738C5"/>
    <w:rsid w:val="00491046"/>
    <w:rsid w:val="004A2AC7"/>
    <w:rsid w:val="004A6D2F"/>
    <w:rsid w:val="004C2887"/>
    <w:rsid w:val="004C4F8F"/>
    <w:rsid w:val="004D2626"/>
    <w:rsid w:val="004D6E26"/>
    <w:rsid w:val="004D77D3"/>
    <w:rsid w:val="004E2959"/>
    <w:rsid w:val="004F20EF"/>
    <w:rsid w:val="004F7725"/>
    <w:rsid w:val="0050321C"/>
    <w:rsid w:val="005147DE"/>
    <w:rsid w:val="005301E4"/>
    <w:rsid w:val="0054712D"/>
    <w:rsid w:val="00547EF6"/>
    <w:rsid w:val="005570B5"/>
    <w:rsid w:val="00562557"/>
    <w:rsid w:val="00567E18"/>
    <w:rsid w:val="00575F5F"/>
    <w:rsid w:val="00581805"/>
    <w:rsid w:val="00585F76"/>
    <w:rsid w:val="005A34E4"/>
    <w:rsid w:val="005A531C"/>
    <w:rsid w:val="005B17F2"/>
    <w:rsid w:val="005B7FB0"/>
    <w:rsid w:val="005C35A5"/>
    <w:rsid w:val="005C577C"/>
    <w:rsid w:val="005D0621"/>
    <w:rsid w:val="005D1E27"/>
    <w:rsid w:val="005D2A3E"/>
    <w:rsid w:val="005E022E"/>
    <w:rsid w:val="005E5215"/>
    <w:rsid w:val="005F7F7E"/>
    <w:rsid w:val="00614693"/>
    <w:rsid w:val="00623C2F"/>
    <w:rsid w:val="00633578"/>
    <w:rsid w:val="00637068"/>
    <w:rsid w:val="00643126"/>
    <w:rsid w:val="0064520E"/>
    <w:rsid w:val="00650811"/>
    <w:rsid w:val="00661D3E"/>
    <w:rsid w:val="00674E9D"/>
    <w:rsid w:val="00692627"/>
    <w:rsid w:val="006969E7"/>
    <w:rsid w:val="006A3643"/>
    <w:rsid w:val="006C2A29"/>
    <w:rsid w:val="006C64CF"/>
    <w:rsid w:val="006C71CD"/>
    <w:rsid w:val="006D17B1"/>
    <w:rsid w:val="006D4752"/>
    <w:rsid w:val="006D708A"/>
    <w:rsid w:val="006D7C8D"/>
    <w:rsid w:val="006E14C1"/>
    <w:rsid w:val="006F0292"/>
    <w:rsid w:val="006F27FA"/>
    <w:rsid w:val="006F416B"/>
    <w:rsid w:val="006F519B"/>
    <w:rsid w:val="0070063C"/>
    <w:rsid w:val="00713675"/>
    <w:rsid w:val="00715823"/>
    <w:rsid w:val="00737B93"/>
    <w:rsid w:val="00745BF0"/>
    <w:rsid w:val="007615FE"/>
    <w:rsid w:val="0076655C"/>
    <w:rsid w:val="007742DC"/>
    <w:rsid w:val="00791437"/>
    <w:rsid w:val="007A115D"/>
    <w:rsid w:val="007B0C2C"/>
    <w:rsid w:val="007B278E"/>
    <w:rsid w:val="007C5C23"/>
    <w:rsid w:val="007E2A26"/>
    <w:rsid w:val="007F2348"/>
    <w:rsid w:val="00803F07"/>
    <w:rsid w:val="0080749A"/>
    <w:rsid w:val="00821FB8"/>
    <w:rsid w:val="00822ACD"/>
    <w:rsid w:val="00847807"/>
    <w:rsid w:val="00855C66"/>
    <w:rsid w:val="00857E42"/>
    <w:rsid w:val="00871EE4"/>
    <w:rsid w:val="008B11B6"/>
    <w:rsid w:val="008B293F"/>
    <w:rsid w:val="008B7371"/>
    <w:rsid w:val="008D3DDB"/>
    <w:rsid w:val="008F573F"/>
    <w:rsid w:val="009034EC"/>
    <w:rsid w:val="0093067A"/>
    <w:rsid w:val="00941C60"/>
    <w:rsid w:val="0095009A"/>
    <w:rsid w:val="00966D42"/>
    <w:rsid w:val="00971689"/>
    <w:rsid w:val="00973E90"/>
    <w:rsid w:val="00975B07"/>
    <w:rsid w:val="00980B4A"/>
    <w:rsid w:val="009E3B29"/>
    <w:rsid w:val="009E3D0A"/>
    <w:rsid w:val="009E51FC"/>
    <w:rsid w:val="009F1D28"/>
    <w:rsid w:val="009F6B49"/>
    <w:rsid w:val="009F7618"/>
    <w:rsid w:val="00A04D23"/>
    <w:rsid w:val="00A06766"/>
    <w:rsid w:val="00A13765"/>
    <w:rsid w:val="00A21B12"/>
    <w:rsid w:val="00A23F80"/>
    <w:rsid w:val="00A46E98"/>
    <w:rsid w:val="00A632F1"/>
    <w:rsid w:val="00A6352B"/>
    <w:rsid w:val="00A701B5"/>
    <w:rsid w:val="00A714BB"/>
    <w:rsid w:val="00A92D8F"/>
    <w:rsid w:val="00AB2988"/>
    <w:rsid w:val="00AB7999"/>
    <w:rsid w:val="00AD3292"/>
    <w:rsid w:val="00AE7AF0"/>
    <w:rsid w:val="00B4173F"/>
    <w:rsid w:val="00B500CA"/>
    <w:rsid w:val="00B77C0E"/>
    <w:rsid w:val="00B86314"/>
    <w:rsid w:val="00BA1C2E"/>
    <w:rsid w:val="00BC200B"/>
    <w:rsid w:val="00BC4756"/>
    <w:rsid w:val="00BC69A4"/>
    <w:rsid w:val="00BE0680"/>
    <w:rsid w:val="00BE305F"/>
    <w:rsid w:val="00BE7BA3"/>
    <w:rsid w:val="00BF5682"/>
    <w:rsid w:val="00BF7B09"/>
    <w:rsid w:val="00C20A95"/>
    <w:rsid w:val="00C2692F"/>
    <w:rsid w:val="00C3207C"/>
    <w:rsid w:val="00C400E1"/>
    <w:rsid w:val="00C410DD"/>
    <w:rsid w:val="00C41187"/>
    <w:rsid w:val="00C50C7B"/>
    <w:rsid w:val="00C60C6E"/>
    <w:rsid w:val="00C63C31"/>
    <w:rsid w:val="00C757A0"/>
    <w:rsid w:val="00C760DE"/>
    <w:rsid w:val="00C76223"/>
    <w:rsid w:val="00C82630"/>
    <w:rsid w:val="00C85B4E"/>
    <w:rsid w:val="00C907F7"/>
    <w:rsid w:val="00CA2103"/>
    <w:rsid w:val="00CB6B99"/>
    <w:rsid w:val="00CE4C87"/>
    <w:rsid w:val="00CE544A"/>
    <w:rsid w:val="00D11E1C"/>
    <w:rsid w:val="00D160B0"/>
    <w:rsid w:val="00D17F94"/>
    <w:rsid w:val="00D223FC"/>
    <w:rsid w:val="00D26D1E"/>
    <w:rsid w:val="00D474CF"/>
    <w:rsid w:val="00D5547E"/>
    <w:rsid w:val="00D869A1"/>
    <w:rsid w:val="00DA413F"/>
    <w:rsid w:val="00DA4584"/>
    <w:rsid w:val="00DA614B"/>
    <w:rsid w:val="00DC3060"/>
    <w:rsid w:val="00DE0FB2"/>
    <w:rsid w:val="00DF093E"/>
    <w:rsid w:val="00DF5D5D"/>
    <w:rsid w:val="00E01F42"/>
    <w:rsid w:val="00E206D6"/>
    <w:rsid w:val="00E3366E"/>
    <w:rsid w:val="00E40BEF"/>
    <w:rsid w:val="00E52086"/>
    <w:rsid w:val="00E53CFC"/>
    <w:rsid w:val="00E543A6"/>
    <w:rsid w:val="00E60479"/>
    <w:rsid w:val="00E61D73"/>
    <w:rsid w:val="00E73684"/>
    <w:rsid w:val="00E818D6"/>
    <w:rsid w:val="00E87CF3"/>
    <w:rsid w:val="00E87F7A"/>
    <w:rsid w:val="00E96BD7"/>
    <w:rsid w:val="00EA0DB1"/>
    <w:rsid w:val="00EA0EE9"/>
    <w:rsid w:val="00ED2097"/>
    <w:rsid w:val="00ED52CA"/>
    <w:rsid w:val="00ED5860"/>
    <w:rsid w:val="00EE35C9"/>
    <w:rsid w:val="00F05ECA"/>
    <w:rsid w:val="00F3566E"/>
    <w:rsid w:val="00F375FB"/>
    <w:rsid w:val="00F40B5F"/>
    <w:rsid w:val="00F41AC1"/>
    <w:rsid w:val="00F4367A"/>
    <w:rsid w:val="00F445B1"/>
    <w:rsid w:val="00F45CD4"/>
    <w:rsid w:val="00F60CF3"/>
    <w:rsid w:val="00F66DCA"/>
    <w:rsid w:val="00F718A5"/>
    <w:rsid w:val="00F74F53"/>
    <w:rsid w:val="00F7606D"/>
    <w:rsid w:val="00F77A60"/>
    <w:rsid w:val="00F81670"/>
    <w:rsid w:val="00F82024"/>
    <w:rsid w:val="00F95BC9"/>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Facilities-Management\Procurement\Templates\City%20Executive%20Board%20(CEB)\Templates\CEB%20report%20-%20blank%20template%20to%20be%20used%20from%20January%2020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D4DE8-BEB1-422A-AC0C-B1C6F6A86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CEB report - blank template to be used from January 2016</Template>
  <TotalTime>68</TotalTime>
  <Pages>4</Pages>
  <Words>778</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AppV Sequencer Account</dc:creator>
  <cp:lastModifiedBy>JMitchell</cp:lastModifiedBy>
  <cp:revision>13</cp:revision>
  <cp:lastPrinted>2015-07-03T13:50:00Z</cp:lastPrinted>
  <dcterms:created xsi:type="dcterms:W3CDTF">2017-12-01T15:36:00Z</dcterms:created>
  <dcterms:modified xsi:type="dcterms:W3CDTF">2018-01-15T12:39:00Z</dcterms:modified>
</cp:coreProperties>
</file>